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2F19E3">
        <w:rPr>
          <w:rFonts w:ascii="Palatino Linotype" w:hAnsi="Palatino Linotype" w:cs="Arial"/>
          <w:b/>
          <w:bCs/>
          <w:sz w:val="23"/>
          <w:szCs w:val="23"/>
        </w:rPr>
        <w:t>4062</w:t>
      </w:r>
      <w:r w:rsidR="001A0750">
        <w:rPr>
          <w:rFonts w:ascii="Palatino Linotype" w:hAnsi="Palatino Linotype" w:cs="Arial"/>
          <w:b/>
          <w:bCs/>
          <w:sz w:val="23"/>
          <w:szCs w:val="23"/>
        </w:rPr>
        <w:t>/INFOEM/IP/RR/2019</w:t>
      </w:r>
      <w:r w:rsidR="00D37ED5">
        <w:rPr>
          <w:rFonts w:ascii="Palatino Linotype" w:hAnsi="Palatino Linotype" w:cs="Arial"/>
          <w:b/>
          <w:bCs/>
          <w:sz w:val="23"/>
          <w:szCs w:val="23"/>
        </w:rPr>
        <w:t>.</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151FA6" w:rsidRPr="00151FA6" w:rsidRDefault="00E6179D">
          <w:pPr>
            <w:pStyle w:val="TDC1"/>
            <w:rPr>
              <w:rFonts w:asciiTheme="minorHAnsi" w:eastAsiaTheme="minorEastAsia" w:hAnsiTheme="minorHAnsi"/>
              <w:b w:val="0"/>
              <w:sz w:val="24"/>
              <w:szCs w:val="24"/>
              <w:lang w:eastAsia="es-MX"/>
            </w:rPr>
          </w:pPr>
          <w:r w:rsidRPr="00151FA6">
            <w:rPr>
              <w:sz w:val="24"/>
              <w:szCs w:val="24"/>
            </w:rPr>
            <w:fldChar w:fldCharType="begin"/>
          </w:r>
          <w:r w:rsidRPr="00151FA6">
            <w:rPr>
              <w:sz w:val="24"/>
              <w:szCs w:val="24"/>
            </w:rPr>
            <w:instrText xml:space="preserve"> TOC \o "1-3" \h \z \u </w:instrText>
          </w:r>
          <w:r w:rsidRPr="00151FA6">
            <w:rPr>
              <w:sz w:val="24"/>
              <w:szCs w:val="24"/>
            </w:rPr>
            <w:fldChar w:fldCharType="separate"/>
          </w:r>
          <w:hyperlink w:anchor="_Toc13739400" w:history="1">
            <w:r w:rsidR="00151FA6" w:rsidRPr="00151FA6">
              <w:rPr>
                <w:rStyle w:val="Hipervnculo"/>
                <w:rFonts w:eastAsia="Times New Roman"/>
                <w:sz w:val="24"/>
                <w:szCs w:val="24"/>
              </w:rPr>
              <w:t>I.</w:t>
            </w:r>
            <w:r w:rsidR="00151FA6" w:rsidRPr="00151FA6">
              <w:rPr>
                <w:rFonts w:asciiTheme="minorHAnsi" w:eastAsiaTheme="minorEastAsia" w:hAnsiTheme="minorHAnsi"/>
                <w:b w:val="0"/>
                <w:sz w:val="24"/>
                <w:szCs w:val="24"/>
                <w:lang w:eastAsia="es-MX"/>
              </w:rPr>
              <w:tab/>
            </w:r>
            <w:r w:rsidR="00151FA6" w:rsidRPr="00151FA6">
              <w:rPr>
                <w:rStyle w:val="Hipervnculo"/>
                <w:rFonts w:eastAsia="Times New Roman"/>
                <w:sz w:val="24"/>
                <w:szCs w:val="24"/>
              </w:rPr>
              <w:t>Consideraciones Generales</w:t>
            </w:r>
            <w:r w:rsidR="00151FA6" w:rsidRPr="00151FA6">
              <w:rPr>
                <w:webHidden/>
                <w:sz w:val="24"/>
                <w:szCs w:val="24"/>
              </w:rPr>
              <w:tab/>
            </w:r>
            <w:r w:rsidR="00151FA6" w:rsidRPr="00151FA6">
              <w:rPr>
                <w:webHidden/>
                <w:sz w:val="24"/>
                <w:szCs w:val="24"/>
              </w:rPr>
              <w:fldChar w:fldCharType="begin"/>
            </w:r>
            <w:r w:rsidR="00151FA6" w:rsidRPr="00151FA6">
              <w:rPr>
                <w:webHidden/>
                <w:sz w:val="24"/>
                <w:szCs w:val="24"/>
              </w:rPr>
              <w:instrText xml:space="preserve"> PAGEREF _Toc13739400 \h </w:instrText>
            </w:r>
            <w:r w:rsidR="00151FA6" w:rsidRPr="00151FA6">
              <w:rPr>
                <w:webHidden/>
                <w:sz w:val="24"/>
                <w:szCs w:val="24"/>
              </w:rPr>
            </w:r>
            <w:r w:rsidR="00151FA6" w:rsidRPr="00151FA6">
              <w:rPr>
                <w:webHidden/>
                <w:sz w:val="24"/>
                <w:szCs w:val="24"/>
              </w:rPr>
              <w:fldChar w:fldCharType="separate"/>
            </w:r>
            <w:r w:rsidR="00151FA6" w:rsidRPr="00151FA6">
              <w:rPr>
                <w:webHidden/>
                <w:sz w:val="24"/>
                <w:szCs w:val="24"/>
              </w:rPr>
              <w:t>1</w:t>
            </w:r>
            <w:r w:rsidR="00151FA6" w:rsidRPr="00151FA6">
              <w:rPr>
                <w:webHidden/>
                <w:sz w:val="24"/>
                <w:szCs w:val="24"/>
              </w:rPr>
              <w:fldChar w:fldCharType="end"/>
            </w:r>
          </w:hyperlink>
        </w:p>
        <w:p w:rsidR="00151FA6" w:rsidRPr="00151FA6" w:rsidRDefault="00C2400E">
          <w:pPr>
            <w:pStyle w:val="TDC1"/>
            <w:rPr>
              <w:rFonts w:asciiTheme="minorHAnsi" w:eastAsiaTheme="minorEastAsia" w:hAnsiTheme="minorHAnsi"/>
              <w:b w:val="0"/>
              <w:sz w:val="24"/>
              <w:szCs w:val="24"/>
              <w:lang w:eastAsia="es-MX"/>
            </w:rPr>
          </w:pPr>
          <w:hyperlink w:anchor="_Toc13739401" w:history="1">
            <w:r w:rsidR="00151FA6" w:rsidRPr="00151FA6">
              <w:rPr>
                <w:rStyle w:val="Hipervnculo"/>
                <w:rFonts w:eastAsia="Calibri"/>
                <w:sz w:val="24"/>
                <w:szCs w:val="24"/>
                <w:lang w:val="es-ES"/>
              </w:rPr>
              <w:t>II.</w:t>
            </w:r>
            <w:r w:rsidR="00151FA6" w:rsidRPr="00151FA6">
              <w:rPr>
                <w:rFonts w:asciiTheme="minorHAnsi" w:eastAsiaTheme="minorEastAsia" w:hAnsiTheme="minorHAnsi"/>
                <w:b w:val="0"/>
                <w:sz w:val="24"/>
                <w:szCs w:val="24"/>
                <w:lang w:eastAsia="es-MX"/>
              </w:rPr>
              <w:tab/>
            </w:r>
            <w:r w:rsidR="00151FA6" w:rsidRPr="00151FA6">
              <w:rPr>
                <w:rStyle w:val="Hipervnculo"/>
                <w:rFonts w:eastAsia="Calibri"/>
                <w:sz w:val="24"/>
                <w:szCs w:val="24"/>
                <w:lang w:val="es-ES"/>
              </w:rPr>
              <w:t>De los requerimientos planteados en el recurso de revisión.</w:t>
            </w:r>
            <w:r w:rsidR="00151FA6" w:rsidRPr="00151FA6">
              <w:rPr>
                <w:webHidden/>
                <w:sz w:val="24"/>
                <w:szCs w:val="24"/>
              </w:rPr>
              <w:tab/>
            </w:r>
            <w:r w:rsidR="00151FA6" w:rsidRPr="00151FA6">
              <w:rPr>
                <w:webHidden/>
                <w:sz w:val="24"/>
                <w:szCs w:val="24"/>
              </w:rPr>
              <w:fldChar w:fldCharType="begin"/>
            </w:r>
            <w:r w:rsidR="00151FA6" w:rsidRPr="00151FA6">
              <w:rPr>
                <w:webHidden/>
                <w:sz w:val="24"/>
                <w:szCs w:val="24"/>
              </w:rPr>
              <w:instrText xml:space="preserve"> PAGEREF _Toc13739401 \h </w:instrText>
            </w:r>
            <w:r w:rsidR="00151FA6" w:rsidRPr="00151FA6">
              <w:rPr>
                <w:webHidden/>
                <w:sz w:val="24"/>
                <w:szCs w:val="24"/>
              </w:rPr>
            </w:r>
            <w:r w:rsidR="00151FA6" w:rsidRPr="00151FA6">
              <w:rPr>
                <w:webHidden/>
                <w:sz w:val="24"/>
                <w:szCs w:val="24"/>
              </w:rPr>
              <w:fldChar w:fldCharType="separate"/>
            </w:r>
            <w:r w:rsidR="00151FA6" w:rsidRPr="00151FA6">
              <w:rPr>
                <w:webHidden/>
                <w:sz w:val="24"/>
                <w:szCs w:val="24"/>
              </w:rPr>
              <w:t>2</w:t>
            </w:r>
            <w:r w:rsidR="00151FA6" w:rsidRPr="00151FA6">
              <w:rPr>
                <w:webHidden/>
                <w:sz w:val="24"/>
                <w:szCs w:val="24"/>
              </w:rPr>
              <w:fldChar w:fldCharType="end"/>
            </w:r>
          </w:hyperlink>
        </w:p>
        <w:p w:rsidR="00151FA6" w:rsidRPr="00151FA6" w:rsidRDefault="00C2400E">
          <w:pPr>
            <w:pStyle w:val="TDC2"/>
            <w:rPr>
              <w:rFonts w:asciiTheme="minorHAnsi" w:eastAsiaTheme="minorEastAsia" w:hAnsiTheme="minorHAnsi"/>
              <w:b w:val="0"/>
              <w:lang w:eastAsia="es-MX"/>
            </w:rPr>
          </w:pPr>
          <w:hyperlink w:anchor="_Toc13739402" w:history="1">
            <w:r w:rsidR="00151FA6" w:rsidRPr="00151FA6">
              <w:rPr>
                <w:rStyle w:val="Hipervnculo"/>
              </w:rPr>
              <w:t>III. Del Derecho de Acceso a la información pública y el deber de motivar.</w:t>
            </w:r>
            <w:r w:rsidR="00151FA6" w:rsidRPr="00151FA6">
              <w:rPr>
                <w:webHidden/>
              </w:rPr>
              <w:tab/>
            </w:r>
            <w:r w:rsidR="00151FA6" w:rsidRPr="00151FA6">
              <w:rPr>
                <w:webHidden/>
              </w:rPr>
              <w:fldChar w:fldCharType="begin"/>
            </w:r>
            <w:r w:rsidR="00151FA6" w:rsidRPr="00151FA6">
              <w:rPr>
                <w:webHidden/>
              </w:rPr>
              <w:instrText xml:space="preserve"> PAGEREF _Toc13739402 \h </w:instrText>
            </w:r>
            <w:r w:rsidR="00151FA6" w:rsidRPr="00151FA6">
              <w:rPr>
                <w:webHidden/>
              </w:rPr>
            </w:r>
            <w:r w:rsidR="00151FA6" w:rsidRPr="00151FA6">
              <w:rPr>
                <w:webHidden/>
              </w:rPr>
              <w:fldChar w:fldCharType="separate"/>
            </w:r>
            <w:r w:rsidR="00151FA6" w:rsidRPr="00151FA6">
              <w:rPr>
                <w:webHidden/>
              </w:rPr>
              <w:t>5</w:t>
            </w:r>
            <w:r w:rsidR="00151FA6" w:rsidRPr="00151FA6">
              <w:rPr>
                <w:webHidden/>
              </w:rPr>
              <w:fldChar w:fldCharType="end"/>
            </w:r>
          </w:hyperlink>
        </w:p>
        <w:p w:rsidR="00151FA6" w:rsidRPr="00151FA6" w:rsidRDefault="00C2400E" w:rsidP="00151FA6">
          <w:pPr>
            <w:pStyle w:val="TDC1"/>
            <w:rPr>
              <w:rFonts w:asciiTheme="minorHAnsi" w:eastAsiaTheme="minorEastAsia" w:hAnsiTheme="minorHAnsi"/>
              <w:b w:val="0"/>
              <w:sz w:val="24"/>
              <w:szCs w:val="24"/>
              <w:lang w:eastAsia="es-MX"/>
            </w:rPr>
          </w:pPr>
          <w:hyperlink w:anchor="_Toc13739403" w:history="1">
            <w:r w:rsidR="00151FA6" w:rsidRPr="00151FA6">
              <w:rPr>
                <w:rStyle w:val="Hipervnculo"/>
                <w:rFonts w:eastAsia="Calibri"/>
                <w:sz w:val="24"/>
                <w:szCs w:val="24"/>
              </w:rPr>
              <w:t>IV. Del Pronunciamiento simple</w:t>
            </w:r>
            <w:r w:rsidR="00151FA6" w:rsidRPr="00151FA6">
              <w:rPr>
                <w:webHidden/>
                <w:sz w:val="24"/>
                <w:szCs w:val="24"/>
              </w:rPr>
              <w:tab/>
            </w:r>
            <w:r w:rsidR="00151FA6" w:rsidRPr="00151FA6">
              <w:rPr>
                <w:webHidden/>
                <w:sz w:val="24"/>
                <w:szCs w:val="24"/>
              </w:rPr>
              <w:fldChar w:fldCharType="begin"/>
            </w:r>
            <w:r w:rsidR="00151FA6" w:rsidRPr="00151FA6">
              <w:rPr>
                <w:webHidden/>
                <w:sz w:val="24"/>
                <w:szCs w:val="24"/>
              </w:rPr>
              <w:instrText xml:space="preserve"> PAGEREF _Toc13739403 \h </w:instrText>
            </w:r>
            <w:r w:rsidR="00151FA6" w:rsidRPr="00151FA6">
              <w:rPr>
                <w:webHidden/>
                <w:sz w:val="24"/>
                <w:szCs w:val="24"/>
              </w:rPr>
            </w:r>
            <w:r w:rsidR="00151FA6" w:rsidRPr="00151FA6">
              <w:rPr>
                <w:webHidden/>
                <w:sz w:val="24"/>
                <w:szCs w:val="24"/>
              </w:rPr>
              <w:fldChar w:fldCharType="separate"/>
            </w:r>
            <w:r w:rsidR="00151FA6" w:rsidRPr="00151FA6">
              <w:rPr>
                <w:webHidden/>
                <w:sz w:val="24"/>
                <w:szCs w:val="24"/>
              </w:rPr>
              <w:t>11</w:t>
            </w:r>
            <w:r w:rsidR="00151FA6" w:rsidRPr="00151FA6">
              <w:rPr>
                <w:webHidden/>
                <w:sz w:val="24"/>
                <w:szCs w:val="24"/>
              </w:rPr>
              <w:fldChar w:fldCharType="end"/>
            </w:r>
          </w:hyperlink>
        </w:p>
        <w:p w:rsidR="00151FA6" w:rsidRPr="00151FA6" w:rsidRDefault="00C2400E">
          <w:pPr>
            <w:pStyle w:val="TDC1"/>
            <w:rPr>
              <w:rFonts w:asciiTheme="minorHAnsi" w:eastAsiaTheme="minorEastAsia" w:hAnsiTheme="minorHAnsi"/>
              <w:b w:val="0"/>
              <w:sz w:val="24"/>
              <w:szCs w:val="24"/>
              <w:lang w:eastAsia="es-MX"/>
            </w:rPr>
          </w:pPr>
          <w:hyperlink w:anchor="_Toc13739405" w:history="1">
            <w:r w:rsidR="00151FA6" w:rsidRPr="00151FA6">
              <w:rPr>
                <w:rStyle w:val="Hipervnculo"/>
                <w:rFonts w:eastAsia="Calibri"/>
                <w:sz w:val="24"/>
                <w:szCs w:val="24"/>
              </w:rPr>
              <w:t>V. Conclusión.</w:t>
            </w:r>
            <w:r w:rsidR="00151FA6" w:rsidRPr="00151FA6">
              <w:rPr>
                <w:webHidden/>
                <w:sz w:val="24"/>
                <w:szCs w:val="24"/>
              </w:rPr>
              <w:tab/>
            </w:r>
            <w:r w:rsidR="00151FA6" w:rsidRPr="00151FA6">
              <w:rPr>
                <w:webHidden/>
                <w:sz w:val="24"/>
                <w:szCs w:val="24"/>
              </w:rPr>
              <w:fldChar w:fldCharType="begin"/>
            </w:r>
            <w:r w:rsidR="00151FA6" w:rsidRPr="00151FA6">
              <w:rPr>
                <w:webHidden/>
                <w:sz w:val="24"/>
                <w:szCs w:val="24"/>
              </w:rPr>
              <w:instrText xml:space="preserve"> PAGEREF _Toc13739405 \h </w:instrText>
            </w:r>
            <w:r w:rsidR="00151FA6" w:rsidRPr="00151FA6">
              <w:rPr>
                <w:webHidden/>
                <w:sz w:val="24"/>
                <w:szCs w:val="24"/>
              </w:rPr>
            </w:r>
            <w:r w:rsidR="00151FA6" w:rsidRPr="00151FA6">
              <w:rPr>
                <w:webHidden/>
                <w:sz w:val="24"/>
                <w:szCs w:val="24"/>
              </w:rPr>
              <w:fldChar w:fldCharType="separate"/>
            </w:r>
            <w:r w:rsidR="00151FA6" w:rsidRPr="00151FA6">
              <w:rPr>
                <w:webHidden/>
                <w:sz w:val="24"/>
                <w:szCs w:val="24"/>
              </w:rPr>
              <w:t>29</w:t>
            </w:r>
            <w:r w:rsidR="00151FA6" w:rsidRPr="00151FA6">
              <w:rPr>
                <w:webHidden/>
                <w:sz w:val="24"/>
                <w:szCs w:val="24"/>
              </w:rPr>
              <w:fldChar w:fldCharType="end"/>
            </w:r>
          </w:hyperlink>
        </w:p>
        <w:p w:rsidR="00E6179D" w:rsidRPr="00151FA6" w:rsidRDefault="00E6179D" w:rsidP="00B73B30">
          <w:pPr>
            <w:spacing w:line="360" w:lineRule="auto"/>
            <w:rPr>
              <w:rFonts w:ascii="Palatino Linotype" w:hAnsi="Palatino Linotype"/>
              <w:b/>
              <w:sz w:val="24"/>
              <w:szCs w:val="24"/>
            </w:rPr>
          </w:pPr>
          <w:r w:rsidRPr="00151FA6">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13739400"/>
      <w:r w:rsidRPr="00427B79">
        <w:rPr>
          <w:rFonts w:eastAsia="Times New Roman"/>
          <w:color w:val="auto"/>
          <w:szCs w:val="24"/>
        </w:rPr>
        <w:t>Consideraciones Generales</w:t>
      </w:r>
      <w:bookmarkEnd w:id="1"/>
    </w:p>
    <w:p w:rsidR="0003648B" w:rsidRPr="00427B79" w:rsidRDefault="0003648B" w:rsidP="0003648B">
      <w:pPr>
        <w:pStyle w:val="TDC1"/>
        <w:ind w:left="0"/>
        <w:rPr>
          <w:sz w:val="24"/>
          <w:szCs w:val="24"/>
          <w:lang w:val="es-ES"/>
        </w:rPr>
      </w:pPr>
    </w:p>
    <w:p w:rsidR="00EF3EA6" w:rsidRPr="009F02EB" w:rsidRDefault="00E6179D" w:rsidP="00EF3EA6">
      <w:pPr>
        <w:spacing w:after="0" w:line="360" w:lineRule="auto"/>
        <w:jc w:val="both"/>
        <w:rPr>
          <w:rFonts w:ascii="Palatino Linotype" w:eastAsia="Calibri" w:hAnsi="Palatino Linotype" w:cs="Arial"/>
          <w:b/>
          <w:bCs/>
          <w:sz w:val="24"/>
          <w:szCs w:val="24"/>
          <w:lang w:eastAsia="es-MX"/>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por el Pleno del Instituto de Transparencia, Acceso a la Información Pública y Protección de Datos Personales del Estado de México y Municipios, en su</w:t>
      </w:r>
      <w:r w:rsidR="001A0750" w:rsidRPr="001A0750">
        <w:rPr>
          <w:rFonts w:ascii="Palatino Linotype" w:eastAsia="Calibri" w:hAnsi="Palatino Linotype" w:cs="Arial"/>
          <w:sz w:val="24"/>
          <w:szCs w:val="24"/>
        </w:rPr>
        <w:t xml:space="preserve"> </w:t>
      </w:r>
      <w:r w:rsidR="001A0750">
        <w:rPr>
          <w:rFonts w:ascii="Palatino Linotype" w:eastAsia="Calibri" w:hAnsi="Palatino Linotype" w:cs="Arial"/>
          <w:sz w:val="24"/>
          <w:szCs w:val="24"/>
        </w:rPr>
        <w:t xml:space="preserve">Vigésima Sexta </w:t>
      </w:r>
      <w:r w:rsidR="001A0750" w:rsidRPr="009F02EB">
        <w:rPr>
          <w:rFonts w:ascii="Palatino Linotype" w:eastAsia="Calibri" w:hAnsi="Palatino Linotype" w:cs="Arial"/>
          <w:sz w:val="24"/>
          <w:szCs w:val="24"/>
        </w:rPr>
        <w:t xml:space="preserve">Sesión Ordinaria celebrada el día </w:t>
      </w:r>
      <w:r w:rsidR="001A0750">
        <w:rPr>
          <w:rFonts w:ascii="Palatino Linotype" w:eastAsia="Calibri" w:hAnsi="Palatino Linotype" w:cs="Arial"/>
          <w:sz w:val="24"/>
          <w:szCs w:val="24"/>
        </w:rPr>
        <w:t xml:space="preserve">diez </w:t>
      </w:r>
      <w:r w:rsidR="001A0750" w:rsidRPr="009F02EB">
        <w:rPr>
          <w:rFonts w:ascii="Palatino Linotype" w:eastAsia="Calibri" w:hAnsi="Palatino Linotype" w:cs="Arial"/>
          <w:sz w:val="24"/>
          <w:szCs w:val="24"/>
        </w:rPr>
        <w:t xml:space="preserve"> (</w:t>
      </w:r>
      <w:r w:rsidR="001A0750">
        <w:rPr>
          <w:rFonts w:ascii="Palatino Linotype" w:eastAsia="Calibri" w:hAnsi="Palatino Linotype" w:cs="Arial"/>
          <w:sz w:val="24"/>
          <w:szCs w:val="24"/>
        </w:rPr>
        <w:t>10</w:t>
      </w:r>
      <w:r w:rsidR="001A0750" w:rsidRPr="009F02EB">
        <w:rPr>
          <w:rFonts w:ascii="Palatino Linotype" w:eastAsia="Calibri" w:hAnsi="Palatino Linotype" w:cs="Arial"/>
          <w:sz w:val="24"/>
          <w:szCs w:val="24"/>
        </w:rPr>
        <w:t xml:space="preserve">) de </w:t>
      </w:r>
      <w:r w:rsidR="001A0750">
        <w:rPr>
          <w:rFonts w:ascii="Palatino Linotype" w:eastAsia="Calibri" w:hAnsi="Palatino Linotype" w:cs="Arial"/>
          <w:sz w:val="24"/>
          <w:szCs w:val="24"/>
        </w:rPr>
        <w:t>julio</w:t>
      </w:r>
      <w:r w:rsidR="001A0750" w:rsidRPr="009F02EB">
        <w:rPr>
          <w:rFonts w:ascii="Palatino Linotype" w:eastAsia="Calibri" w:hAnsi="Palatino Linotype" w:cs="Arial"/>
          <w:sz w:val="24"/>
          <w:szCs w:val="24"/>
        </w:rPr>
        <w:t xml:space="preserve"> del dos mil 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t xml:space="preserve">recurso </w:t>
      </w:r>
      <w:r w:rsidRPr="009F02EB">
        <w:rPr>
          <w:rFonts w:ascii="Palatino Linotype" w:eastAsia="Calibri" w:hAnsi="Palatino Linotype" w:cs="Arial"/>
          <w:sz w:val="24"/>
          <w:szCs w:val="24"/>
        </w:rPr>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lastRenderedPageBreak/>
        <w:t>revisión</w:t>
      </w:r>
      <w:r w:rsidR="00FE1030">
        <w:rPr>
          <w:rFonts w:ascii="Palatino Linotype" w:eastAsia="Calibri" w:hAnsi="Palatino Linotype" w:cs="Arial"/>
          <w:sz w:val="24"/>
          <w:szCs w:val="24"/>
        </w:rPr>
        <w:t xml:space="preserve"> </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36141D" w:rsidRPr="009F02EB">
        <w:rPr>
          <w:rFonts w:ascii="Palatino Linotype" w:eastAsia="Calibri" w:hAnsi="Palatino Linotype" w:cs="Arial"/>
          <w:sz w:val="24"/>
          <w:szCs w:val="24"/>
        </w:rPr>
        <w:t xml:space="preserve"> </w:t>
      </w:r>
      <w:r w:rsidR="00472C78" w:rsidRPr="00225470">
        <w:rPr>
          <w:rFonts w:ascii="Palatino Linotype" w:eastAsia="Calibri" w:hAnsi="Palatino Linotype" w:cs="Arial"/>
          <w:sz w:val="24"/>
          <w:szCs w:val="24"/>
        </w:rPr>
        <w:t>de</w:t>
      </w:r>
      <w:r w:rsidR="001A0750">
        <w:rPr>
          <w:rFonts w:ascii="Palatino Linotype" w:eastAsia="Calibri" w:hAnsi="Palatino Linotype" w:cs="Arial"/>
          <w:sz w:val="24"/>
          <w:szCs w:val="24"/>
        </w:rPr>
        <w:t xml:space="preserve"> </w:t>
      </w:r>
      <w:r w:rsidR="008049C8" w:rsidRPr="00A649FE">
        <w:rPr>
          <w:rFonts w:ascii="Palatino Linotype" w:eastAsia="Calibri" w:hAnsi="Palatino Linotype" w:cs="Arial"/>
          <w:sz w:val="24"/>
          <w:szCs w:val="24"/>
        </w:rPr>
        <w:t>l</w:t>
      </w:r>
      <w:r w:rsidR="001A0750" w:rsidRPr="00A649FE">
        <w:rPr>
          <w:rFonts w:ascii="Palatino Linotype" w:eastAsia="Calibri" w:hAnsi="Palatino Linotype" w:cs="Arial"/>
          <w:sz w:val="24"/>
          <w:szCs w:val="24"/>
        </w:rPr>
        <w:t>a</w:t>
      </w:r>
      <w:r w:rsidR="00A65FF3" w:rsidRPr="00A649FE">
        <w:rPr>
          <w:rFonts w:ascii="Palatino Linotype" w:hAnsi="Palatino Linotype"/>
          <w:b/>
          <w:bCs/>
          <w:sz w:val="24"/>
          <w:szCs w:val="24"/>
        </w:rPr>
        <w:t xml:space="preserve"> Secretaría de la Contraloría</w:t>
      </w:r>
      <w:r w:rsidR="008049C8" w:rsidRPr="00A649FE">
        <w:rPr>
          <w:rFonts w:ascii="Palatino Linotype" w:hAnsi="Palatino Linotype"/>
          <w:sz w:val="24"/>
          <w:szCs w:val="24"/>
        </w:rPr>
        <w:t>,</w:t>
      </w:r>
      <w:r w:rsidR="008049C8" w:rsidRPr="008049C8">
        <w:rPr>
          <w:rFonts w:ascii="Palatino Linotype" w:hAnsi="Palatino Linotype" w:cs="Arial"/>
          <w:b/>
          <w:sz w:val="24"/>
          <w:szCs w:val="24"/>
        </w:rPr>
        <w:t xml:space="preserve"> </w:t>
      </w:r>
      <w:r w:rsidRPr="008049C8">
        <w:rPr>
          <w:rFonts w:ascii="Palatino Linotype" w:eastAsia="Calibri" w:hAnsi="Palatino Linotype" w:cs="Arial"/>
          <w:sz w:val="24"/>
          <w:szCs w:val="24"/>
        </w:rPr>
        <w:t>pr</w:t>
      </w:r>
      <w:r w:rsidRPr="009F02EB">
        <w:rPr>
          <w:rFonts w:ascii="Palatino Linotype" w:eastAsia="Calibri" w:hAnsi="Palatino Linotype" w:cs="Arial"/>
          <w:sz w:val="24"/>
          <w:szCs w:val="24"/>
        </w:rPr>
        <w:t>ocedimiento que le fue asignado el número de expediente</w:t>
      </w:r>
      <w:r w:rsidR="00DB39B5" w:rsidRPr="009F02EB">
        <w:rPr>
          <w:rFonts w:ascii="Palatino Linotype" w:eastAsia="Calibri" w:hAnsi="Palatino Linotype" w:cs="Arial"/>
          <w:sz w:val="24"/>
          <w:szCs w:val="24"/>
        </w:rPr>
        <w:t xml:space="preserve"> </w:t>
      </w:r>
      <w:r w:rsidR="00D36317" w:rsidRPr="009F02EB">
        <w:rPr>
          <w:rFonts w:ascii="Palatino Linotype" w:hAnsi="Palatino Linotype" w:cs="Arial"/>
          <w:b/>
          <w:bCs/>
          <w:sz w:val="24"/>
          <w:szCs w:val="24"/>
        </w:rPr>
        <w:t>0</w:t>
      </w:r>
      <w:r w:rsidR="002F19E3">
        <w:rPr>
          <w:rFonts w:ascii="Palatino Linotype" w:hAnsi="Palatino Linotype" w:cs="Arial"/>
          <w:b/>
          <w:bCs/>
          <w:sz w:val="24"/>
          <w:szCs w:val="24"/>
        </w:rPr>
        <w:t>4062</w:t>
      </w:r>
      <w:r w:rsidR="001A0750">
        <w:rPr>
          <w:rFonts w:ascii="Palatino Linotype" w:hAnsi="Palatino Linotype" w:cs="Arial"/>
          <w:b/>
          <w:bCs/>
          <w:sz w:val="24"/>
          <w:szCs w:val="24"/>
        </w:rPr>
        <w:t>/INFOEM/IP/RR/2019</w:t>
      </w:r>
      <w:r w:rsidR="00D37ED5" w:rsidRPr="009F02EB">
        <w:rPr>
          <w:rFonts w:ascii="Palatino Linotype" w:hAnsi="Palatino Linotype" w:cs="Arial"/>
          <w:b/>
          <w:bCs/>
          <w:sz w:val="24"/>
          <w:szCs w:val="24"/>
        </w:rPr>
        <w:t>.</w:t>
      </w:r>
    </w:p>
    <w:p w:rsidR="00E6179D" w:rsidRPr="009F02EB"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1A0750">
        <w:rPr>
          <w:rFonts w:ascii="Palatino Linotype" w:eastAsia="Calibri" w:hAnsi="Palatino Linotype" w:cs="Arial"/>
          <w:b/>
          <w:sz w:val="24"/>
          <w:szCs w:val="24"/>
        </w:rPr>
        <w:t>MODIFICA</w:t>
      </w:r>
      <w:r w:rsidR="00A65FF3">
        <w:rPr>
          <w:rFonts w:ascii="Palatino Linotype" w:eastAsia="Calibri" w:hAnsi="Palatino Linotype" w:cs="Arial"/>
          <w:b/>
          <w:sz w:val="24"/>
          <w:szCs w:val="24"/>
        </w:rPr>
        <w:t>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9447DE" w:rsidRPr="004006D9" w:rsidRDefault="009447DE" w:rsidP="009447DE">
      <w:pPr>
        <w:pStyle w:val="Prrafodelista"/>
        <w:numPr>
          <w:ilvl w:val="0"/>
          <w:numId w:val="1"/>
        </w:numPr>
        <w:spacing w:line="360" w:lineRule="auto"/>
        <w:ind w:left="0" w:firstLine="0"/>
        <w:jc w:val="both"/>
        <w:rPr>
          <w:rFonts w:ascii="Palatino Linotype" w:eastAsia="Calibri" w:hAnsi="Palatino Linotype" w:cs="Arial"/>
          <w:sz w:val="24"/>
          <w:szCs w:val="24"/>
        </w:rPr>
      </w:pPr>
      <w:r w:rsidRPr="00E63C30">
        <w:rPr>
          <w:rFonts w:ascii="Palatino Linotype" w:eastAsia="Calibri" w:hAnsi="Palatino Linotype" w:cs="Arial"/>
          <w:sz w:val="24"/>
          <w:szCs w:val="24"/>
        </w:rPr>
        <w:t>Estando de acuerdo con la resolución formulada por el comisionado ponente, mi voto particular consiste en que lo ordenado por</w:t>
      </w:r>
      <w:r w:rsidR="00130392">
        <w:rPr>
          <w:rFonts w:ascii="Palatino Linotype" w:eastAsia="Calibri" w:hAnsi="Palatino Linotype" w:cs="Arial"/>
          <w:sz w:val="24"/>
          <w:szCs w:val="24"/>
        </w:rPr>
        <w:t xml:space="preserve"> este Pleno, no solo basta con </w:t>
      </w:r>
      <w:r w:rsidRPr="00E63C30">
        <w:rPr>
          <w:rFonts w:ascii="Palatino Linotype" w:eastAsia="Calibri" w:hAnsi="Palatino Linotype" w:cs="Arial"/>
          <w:sz w:val="24"/>
          <w:szCs w:val="24"/>
        </w:rPr>
        <w:t xml:space="preserve">el simple pronunciamiento que el </w:t>
      </w:r>
      <w:r w:rsidRPr="009447DE">
        <w:rPr>
          <w:rFonts w:ascii="Palatino Linotype" w:eastAsia="Calibri" w:hAnsi="Palatino Linotype" w:cs="Arial"/>
          <w:b/>
          <w:sz w:val="24"/>
          <w:szCs w:val="24"/>
        </w:rPr>
        <w:t>SUJETO OBLIGADO</w:t>
      </w:r>
      <w:r w:rsidRPr="00E63C30">
        <w:rPr>
          <w:rFonts w:ascii="Palatino Linotype" w:eastAsia="Calibri" w:hAnsi="Palatino Linotype" w:cs="Arial"/>
          <w:sz w:val="24"/>
          <w:szCs w:val="24"/>
        </w:rPr>
        <w:t xml:space="preserve"> realice al momento de dar cumplimiento a la misma, sino que deberá manifestar de manera precisa y clara las razones que expliquen las causas por las que no se haya poseído, generado y/o administrado la información solicitada.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Default="00E6179D" w:rsidP="00B41044">
      <w:pPr>
        <w:pStyle w:val="Ttulo1"/>
        <w:numPr>
          <w:ilvl w:val="0"/>
          <w:numId w:val="2"/>
        </w:numPr>
        <w:ind w:left="0" w:firstLine="0"/>
        <w:rPr>
          <w:rFonts w:eastAsia="Calibri"/>
          <w:color w:val="auto"/>
          <w:szCs w:val="24"/>
          <w:lang w:val="es-ES"/>
        </w:rPr>
      </w:pPr>
      <w:bookmarkStart w:id="2" w:name="_Toc13739401"/>
      <w:r w:rsidRPr="00427B79">
        <w:rPr>
          <w:rFonts w:eastAsia="Calibri"/>
          <w:color w:val="auto"/>
          <w:szCs w:val="24"/>
          <w:lang w:val="es-ES"/>
        </w:rPr>
        <w:t>De los requerimientos planteados en el recurso de revisión.</w:t>
      </w:r>
      <w:bookmarkEnd w:id="2"/>
    </w:p>
    <w:p w:rsidR="00821FE4" w:rsidRPr="00821FE4" w:rsidRDefault="00821FE4" w:rsidP="00821FE4">
      <w:pPr>
        <w:rPr>
          <w:lang w:val="es-ES"/>
        </w:rPr>
      </w:pPr>
    </w:p>
    <w:p w:rsidR="003C0D78" w:rsidRPr="008049C8" w:rsidRDefault="00E6179D" w:rsidP="008049C8">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lastRenderedPageBreak/>
        <w:t xml:space="preserve">En </w:t>
      </w:r>
      <w:r w:rsidRPr="00D93A70">
        <w:rPr>
          <w:rFonts w:ascii="Palatino Linotype" w:eastAsia="Calibri" w:hAnsi="Palatino Linotype" w:cs="Times New Roman"/>
          <w:sz w:val="24"/>
          <w:szCs w:val="24"/>
        </w:rPr>
        <w:t>ejercicio del derecho constitucional que le asiste al particular, formuló una solicitu</w:t>
      </w:r>
      <w:r w:rsidR="003E0648" w:rsidRPr="00D93A70">
        <w:rPr>
          <w:rFonts w:ascii="Palatino Linotype" w:eastAsia="Calibri" w:hAnsi="Palatino Linotype" w:cs="Times New Roman"/>
          <w:sz w:val="24"/>
          <w:szCs w:val="24"/>
        </w:rPr>
        <w:t xml:space="preserve">d de información dirigida </w:t>
      </w:r>
      <w:r w:rsidR="003E0648" w:rsidRPr="00FE645C">
        <w:rPr>
          <w:rFonts w:ascii="Palatino Linotype" w:eastAsia="Calibri" w:hAnsi="Palatino Linotype" w:cs="Times New Roman"/>
          <w:sz w:val="24"/>
          <w:szCs w:val="24"/>
        </w:rPr>
        <w:t>hacia</w:t>
      </w:r>
      <w:r w:rsidR="005B4B9A">
        <w:rPr>
          <w:rFonts w:ascii="Palatino Linotype" w:eastAsia="Calibri" w:hAnsi="Palatino Linotype" w:cs="Times New Roman"/>
          <w:sz w:val="24"/>
          <w:szCs w:val="24"/>
        </w:rPr>
        <w:t xml:space="preserve"> </w:t>
      </w:r>
      <w:r w:rsidR="006B255B">
        <w:rPr>
          <w:rFonts w:ascii="Palatino Linotype" w:eastAsia="Calibri" w:hAnsi="Palatino Linotype" w:cs="Times New Roman"/>
          <w:sz w:val="24"/>
          <w:szCs w:val="24"/>
        </w:rPr>
        <w:t>la</w:t>
      </w:r>
      <w:r w:rsidR="00A649FE" w:rsidRPr="00A649FE">
        <w:rPr>
          <w:rFonts w:ascii="Palatino Linotype" w:hAnsi="Palatino Linotype"/>
          <w:b/>
          <w:bCs/>
        </w:rPr>
        <w:t xml:space="preserve"> </w:t>
      </w:r>
      <w:r w:rsidR="00A649FE" w:rsidRPr="00A649FE">
        <w:rPr>
          <w:rFonts w:ascii="Palatino Linotype" w:hAnsi="Palatino Linotype"/>
          <w:b/>
          <w:bCs/>
          <w:sz w:val="24"/>
          <w:szCs w:val="24"/>
        </w:rPr>
        <w:t>Secretaría de la Contraloría</w:t>
      </w:r>
      <w:r w:rsidR="008049C8" w:rsidRPr="00A649FE">
        <w:rPr>
          <w:rFonts w:ascii="Palatino Linotype" w:hAnsi="Palatino Linotype"/>
          <w:sz w:val="24"/>
          <w:szCs w:val="24"/>
        </w:rPr>
        <w:t>,</w:t>
      </w:r>
      <w:r w:rsidR="00225470" w:rsidRPr="00225470">
        <w:rPr>
          <w:rFonts w:ascii="Palatino Linotype" w:hAnsi="Palatino Linotype" w:cs="Arial"/>
          <w:b/>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B23CF8" w:rsidRPr="00A649FE" w:rsidRDefault="00B23CF8" w:rsidP="004D66C5">
      <w:pPr>
        <w:pStyle w:val="Sinespaciado"/>
        <w:spacing w:line="360" w:lineRule="auto"/>
        <w:ind w:left="567" w:right="567"/>
        <w:jc w:val="both"/>
        <w:rPr>
          <w:rFonts w:ascii="Palatino Linotype" w:eastAsia="Times New Roman" w:hAnsi="Palatino Linotype" w:cs="Arial"/>
          <w:i/>
          <w:sz w:val="24"/>
          <w:szCs w:val="24"/>
          <w:lang w:val="es-ES" w:eastAsia="es-ES"/>
        </w:rPr>
      </w:pPr>
    </w:p>
    <w:p w:rsidR="00A649FE" w:rsidRPr="00A649FE" w:rsidRDefault="00A649FE" w:rsidP="00A649FE">
      <w:pPr>
        <w:ind w:left="851" w:right="899"/>
        <w:jc w:val="both"/>
        <w:rPr>
          <w:rFonts w:ascii="Palatino Linotype" w:hAnsi="Palatino Linotype"/>
          <w:sz w:val="24"/>
          <w:szCs w:val="24"/>
        </w:rPr>
      </w:pPr>
      <w:r w:rsidRPr="00A649FE">
        <w:rPr>
          <w:rFonts w:ascii="Palatino Linotype" w:hAnsi="Palatino Linotype" w:cs="Arial"/>
          <w:i/>
          <w:sz w:val="24"/>
          <w:szCs w:val="24"/>
        </w:rPr>
        <w:t xml:space="preserve">“copia del expediente de la licitación LPND-322-2019, para compra de 1275 patrullas nombre y cargo de los responsables que están dirigiendo las bases a determinada marca de vehículo y la justificación legal para hacerlo a modo / de las especificaciones del equipo policial todavía tiene algún direccionamiento a la marca whellen / revision que esta haciendo la contraloria interna de ssp y finanzas al respecto asi como el contralor general del estado / como van con la denuncia de arrendamiento la siguen encubriendo en finanzas y el contralor del estado y el fiscal anticorrupción del estado / deben el numero de hojas que ya tiene la indagatoria y el estado que guarda la misma y con que fecha la fiscalía anticorrupcion cito al denunciante a ratificarla copia del oficio / origen de los recursos de esta nueva licitación / acciones del auditor superior al respecto.” </w:t>
      </w:r>
      <w:r w:rsidRPr="00A649FE">
        <w:rPr>
          <w:rFonts w:ascii="Palatino Linotype" w:hAnsi="Palatino Linotype"/>
          <w:sz w:val="24"/>
          <w:szCs w:val="24"/>
        </w:rPr>
        <w:t>(Sic)</w:t>
      </w:r>
    </w:p>
    <w:p w:rsidR="00B23CF8" w:rsidRDefault="00B23CF8" w:rsidP="004D66C5">
      <w:pPr>
        <w:pStyle w:val="Sinespaciado"/>
        <w:spacing w:line="360" w:lineRule="auto"/>
        <w:ind w:left="567" w:right="567"/>
        <w:jc w:val="both"/>
        <w:rPr>
          <w:rFonts w:ascii="Palatino Linotype" w:eastAsia="Calibri" w:hAnsi="Palatino Linotype" w:cs="Times New Roman"/>
          <w:sz w:val="24"/>
          <w:szCs w:val="24"/>
        </w:rPr>
      </w:pPr>
    </w:p>
    <w:p w:rsidR="000E4D6E" w:rsidRPr="002B6741" w:rsidRDefault="00E6179D" w:rsidP="003C0D78">
      <w:pPr>
        <w:pStyle w:val="Prrafodelista"/>
        <w:numPr>
          <w:ilvl w:val="0"/>
          <w:numId w:val="1"/>
        </w:numPr>
        <w:autoSpaceDE w:val="0"/>
        <w:autoSpaceDN w:val="0"/>
        <w:adjustRightInd w:val="0"/>
        <w:spacing w:line="360" w:lineRule="auto"/>
        <w:ind w:right="49"/>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3D42E2">
        <w:rPr>
          <w:rFonts w:ascii="Palatino Linotype" w:eastAsia="Calibri" w:hAnsi="Palatino Linotype" w:cs="Arial"/>
          <w:sz w:val="24"/>
          <w:szCs w:val="24"/>
        </w:rPr>
        <w:t xml:space="preserve">ente obligacional por parte </w:t>
      </w:r>
      <w:r w:rsidR="003C0D78">
        <w:rPr>
          <w:rFonts w:ascii="Palatino Linotype" w:eastAsia="Calibri" w:hAnsi="Palatino Linotype" w:cs="Arial"/>
          <w:sz w:val="24"/>
          <w:szCs w:val="24"/>
        </w:rPr>
        <w:t>d</w:t>
      </w:r>
      <w:r w:rsidR="00CC6106">
        <w:rPr>
          <w:rFonts w:ascii="Palatino Linotype" w:eastAsia="Calibri" w:hAnsi="Palatino Linotype" w:cs="Arial"/>
          <w:sz w:val="24"/>
          <w:szCs w:val="24"/>
        </w:rPr>
        <w:t>e</w:t>
      </w:r>
      <w:r w:rsidR="00A649FE" w:rsidRPr="00A649FE">
        <w:rPr>
          <w:rFonts w:ascii="Palatino Linotype" w:hAnsi="Palatino Linotype"/>
          <w:b/>
          <w:bCs/>
          <w:sz w:val="24"/>
          <w:szCs w:val="24"/>
        </w:rPr>
        <w:t xml:space="preserve"> </w:t>
      </w:r>
      <w:r w:rsidR="00A649FE">
        <w:rPr>
          <w:rFonts w:ascii="Palatino Linotype" w:hAnsi="Palatino Linotype"/>
          <w:b/>
          <w:bCs/>
          <w:sz w:val="24"/>
          <w:szCs w:val="24"/>
        </w:rPr>
        <w:t xml:space="preserve">la </w:t>
      </w:r>
      <w:r w:rsidR="00A649FE" w:rsidRPr="00A649FE">
        <w:rPr>
          <w:rFonts w:ascii="Palatino Linotype" w:hAnsi="Palatino Linotype"/>
          <w:b/>
          <w:bCs/>
          <w:sz w:val="24"/>
          <w:szCs w:val="24"/>
        </w:rPr>
        <w:t>Secretaría de la Contraloría</w:t>
      </w:r>
      <w:r w:rsidR="00A649FE" w:rsidRPr="00A649FE">
        <w:rPr>
          <w:rFonts w:ascii="Palatino Linotype" w:hAnsi="Palatino Linotype"/>
          <w:sz w:val="24"/>
          <w:szCs w:val="24"/>
        </w:rPr>
        <w:t>,</w:t>
      </w:r>
      <w:r w:rsidR="00E44859" w:rsidRPr="00E44859">
        <w:rPr>
          <w:rFonts w:ascii="Palatino Linotype" w:hAnsi="Palatino Linotype" w:cs="Arial"/>
          <w:b/>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A43A7A" w:rsidRPr="00A649FE" w:rsidRDefault="00480F5B" w:rsidP="00A43A7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lastRenderedPageBreak/>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3C0D78">
        <w:rPr>
          <w:rFonts w:ascii="Palatino Linotype" w:hAnsi="Palatino Linotype" w:cs="Arial"/>
          <w:b/>
          <w:sz w:val="24"/>
          <w:szCs w:val="24"/>
        </w:rPr>
        <w:t xml:space="preserve"> a</w:t>
      </w:r>
      <w:r w:rsidR="00A649FE" w:rsidRPr="00A649FE">
        <w:rPr>
          <w:rFonts w:ascii="Palatino Linotype" w:hAnsi="Palatino Linotype"/>
          <w:b/>
          <w:bCs/>
          <w:sz w:val="24"/>
          <w:szCs w:val="24"/>
        </w:rPr>
        <w:t xml:space="preserve"> </w:t>
      </w:r>
      <w:r w:rsidR="00A649FE">
        <w:rPr>
          <w:rFonts w:ascii="Palatino Linotype" w:hAnsi="Palatino Linotype"/>
          <w:b/>
          <w:bCs/>
          <w:sz w:val="24"/>
          <w:szCs w:val="24"/>
        </w:rPr>
        <w:t xml:space="preserve">la </w:t>
      </w:r>
      <w:r w:rsidR="00A649FE" w:rsidRPr="00A649FE">
        <w:rPr>
          <w:rFonts w:ascii="Palatino Linotype" w:hAnsi="Palatino Linotype"/>
          <w:b/>
          <w:bCs/>
          <w:sz w:val="24"/>
          <w:szCs w:val="24"/>
        </w:rPr>
        <w:t>Secretaría de la Contraloría</w:t>
      </w:r>
      <w:r w:rsidR="00A649FE" w:rsidRPr="00A649FE">
        <w:rPr>
          <w:rFonts w:ascii="Palatino Linotype" w:hAnsi="Palatino Linotype"/>
          <w:sz w:val="24"/>
          <w:szCs w:val="24"/>
        </w:rPr>
        <w:t>,</w:t>
      </w:r>
      <w:r w:rsidR="008049C8">
        <w:rPr>
          <w:rFonts w:ascii="Palatino Linotype" w:hAnsi="Palatino Linotype"/>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A649FE" w:rsidRPr="00A649FE" w:rsidRDefault="00A649FE" w:rsidP="00A649FE">
      <w:pPr>
        <w:pStyle w:val="Prrafodelista"/>
        <w:rPr>
          <w:rFonts w:ascii="Palatino Linotype" w:hAnsi="Palatino Linotype"/>
          <w:sz w:val="24"/>
          <w:szCs w:val="24"/>
        </w:rPr>
      </w:pPr>
    </w:p>
    <w:p w:rsidR="00A649FE" w:rsidRPr="008B0A36" w:rsidRDefault="00A649FE" w:rsidP="00A649FE">
      <w:pPr>
        <w:spacing w:before="100" w:beforeAutospacing="1" w:after="100" w:afterAutospacing="1"/>
        <w:ind w:left="851" w:right="902"/>
        <w:jc w:val="both"/>
        <w:rPr>
          <w:rFonts w:ascii="Palatino Linotype" w:hAnsi="Palatino Linotype"/>
          <w:i/>
          <w:iCs/>
          <w:color w:val="222222"/>
          <w:lang w:eastAsia="es-MX"/>
        </w:rPr>
      </w:pPr>
      <w:r w:rsidRPr="008B0A36">
        <w:rPr>
          <w:rFonts w:ascii="Palatino Linotype" w:hAnsi="Palatino Linotype"/>
          <w:i/>
          <w:iCs/>
          <w:color w:val="222222"/>
          <w:lang w:eastAsia="es-MX"/>
        </w:rPr>
        <w:t xml:space="preserve">“a) El Acuerdo que emita el Comité de Transparencia mediante el que confirme la declaratoria de incompetencia del </w:t>
      </w:r>
      <w:r w:rsidRPr="008B0A36">
        <w:rPr>
          <w:rFonts w:ascii="Palatino Linotype" w:hAnsi="Palatino Linotype"/>
          <w:b/>
          <w:i/>
          <w:iCs/>
          <w:color w:val="222222"/>
          <w:lang w:eastAsia="es-MX"/>
        </w:rPr>
        <w:t>SUJETO OBLIGADO</w:t>
      </w:r>
      <w:r w:rsidRPr="008B0A36">
        <w:rPr>
          <w:rFonts w:ascii="Palatino Linotype" w:hAnsi="Palatino Linotype"/>
          <w:i/>
          <w:iCs/>
          <w:color w:val="222222"/>
          <w:lang w:eastAsia="es-MX"/>
        </w:rPr>
        <w:t xml:space="preserve"> respecto del expediente de licitación número LPND-322-2019, nombre y cargo de los responsables, justificación legal y origen de los recursos; del documento o documentos donde conste el número de hojas, el estado que guarda una indagatoria relacionada con la licitación referida y la fecha en que la Fiscalía Especializada en Combate a la Corrupción citó al denunciante a ratificarla; así como, copia del oficio de citatorio a ratificación, por corresponder a funciones y atribuciones de Sujetos Obligados distintos; y,</w:t>
      </w:r>
    </w:p>
    <w:p w:rsidR="00A649FE" w:rsidRPr="008B0A36" w:rsidRDefault="00A649FE" w:rsidP="00A649FE">
      <w:pPr>
        <w:spacing w:before="100" w:beforeAutospacing="1" w:after="100" w:afterAutospacing="1"/>
        <w:ind w:left="851" w:right="902"/>
        <w:jc w:val="both"/>
        <w:rPr>
          <w:rFonts w:ascii="Palatino Linotype" w:hAnsi="Palatino Linotype"/>
          <w:i/>
          <w:iCs/>
          <w:color w:val="222222"/>
          <w:lang w:eastAsia="es-MX"/>
        </w:rPr>
      </w:pPr>
      <w:r w:rsidRPr="008B0A36">
        <w:rPr>
          <w:rFonts w:ascii="Palatino Linotype" w:hAnsi="Palatino Linotype"/>
          <w:i/>
          <w:iCs/>
          <w:color w:val="222222"/>
          <w:lang w:eastAsia="es-MX"/>
        </w:rPr>
        <w:t>b) Las auditorías, revisiones y/o evaluaciones concluidas al 22 de abril de 2019, que se hayan efectuado al proceso de licitación número LPND-322-2019, en versión pública de ser procedente.</w:t>
      </w:r>
    </w:p>
    <w:p w:rsidR="00A649FE" w:rsidRPr="008B0A36" w:rsidRDefault="00A649FE" w:rsidP="00A649FE">
      <w:pPr>
        <w:spacing w:before="100" w:beforeAutospacing="1" w:after="100" w:afterAutospacing="1"/>
        <w:ind w:left="851" w:right="902"/>
        <w:jc w:val="both"/>
        <w:rPr>
          <w:rFonts w:ascii="Palatino Linotype" w:hAnsi="Palatino Linotype"/>
          <w:i/>
          <w:iCs/>
          <w:color w:val="222222"/>
          <w:lang w:eastAsia="es-MX"/>
        </w:rPr>
      </w:pPr>
      <w:r w:rsidRPr="008B0A36">
        <w:rPr>
          <w:rFonts w:ascii="Palatino Linotype" w:hAnsi="Palatino Linotype"/>
          <w:i/>
          <w:iCs/>
          <w:color w:val="222222"/>
          <w:lang w:eastAsia="es-MX"/>
        </w:rPr>
        <w:t xml:space="preserve">Debiendo notificar al </w:t>
      </w:r>
      <w:r w:rsidRPr="008B0A36">
        <w:rPr>
          <w:rFonts w:ascii="Palatino Linotype" w:hAnsi="Palatino Linotype"/>
          <w:b/>
          <w:i/>
          <w:iCs/>
          <w:color w:val="222222"/>
          <w:lang w:eastAsia="es-MX"/>
        </w:rPr>
        <w:t>RECURRENTE</w:t>
      </w:r>
      <w:r w:rsidRPr="008B0A36">
        <w:rPr>
          <w:rFonts w:ascii="Palatino Linotype" w:hAnsi="Palatino Linotype"/>
          <w:i/>
          <w:iCs/>
          <w:color w:val="222222"/>
          <w:lang w:eastAsia="es-MX"/>
        </w:rPr>
        <w:t xml:space="preserve"> el Acuerdo de Clasificación de la información que emita el Comité de Transparencia con motivo de la versión pública.</w:t>
      </w:r>
    </w:p>
    <w:p w:rsidR="00A649FE" w:rsidRPr="008B0A36" w:rsidRDefault="00A649FE" w:rsidP="00A649FE">
      <w:pPr>
        <w:spacing w:before="100" w:beforeAutospacing="1" w:after="100" w:afterAutospacing="1"/>
        <w:ind w:left="851" w:right="902"/>
        <w:jc w:val="both"/>
        <w:rPr>
          <w:rFonts w:ascii="Palatino Linotype" w:hAnsi="Palatino Linotype"/>
          <w:i/>
          <w:iCs/>
          <w:color w:val="222222"/>
          <w:lang w:eastAsia="es-MX"/>
        </w:rPr>
      </w:pPr>
      <w:r w:rsidRPr="008B0A36">
        <w:rPr>
          <w:rFonts w:ascii="Palatino Linotype" w:hAnsi="Palatino Linotype"/>
          <w:i/>
          <w:iCs/>
          <w:color w:val="222222"/>
          <w:lang w:eastAsia="es-MX"/>
        </w:rPr>
        <w:t xml:space="preserve">En caso de que se hayan realizado auditorías, revisiones y/o evaluaciones al proceso de licitación número LPND-322-2019 y que están se encuentren en trámite, </w:t>
      </w:r>
      <w:r w:rsidRPr="008B0A36">
        <w:rPr>
          <w:rFonts w:ascii="Palatino Linotype" w:hAnsi="Palatino Linotype"/>
          <w:b/>
          <w:i/>
          <w:iCs/>
          <w:color w:val="222222"/>
          <w:lang w:eastAsia="es-MX"/>
        </w:rPr>
        <w:t>EL</w:t>
      </w:r>
      <w:r w:rsidRPr="008B0A36">
        <w:rPr>
          <w:rFonts w:ascii="Palatino Linotype" w:hAnsi="Palatino Linotype"/>
          <w:i/>
          <w:iCs/>
          <w:color w:val="222222"/>
          <w:lang w:eastAsia="es-MX"/>
        </w:rPr>
        <w:t xml:space="preserve"> </w:t>
      </w:r>
      <w:r w:rsidRPr="008B0A36">
        <w:rPr>
          <w:rFonts w:ascii="Palatino Linotype" w:hAnsi="Palatino Linotype"/>
          <w:b/>
          <w:i/>
          <w:iCs/>
          <w:color w:val="222222"/>
          <w:lang w:eastAsia="es-MX"/>
        </w:rPr>
        <w:t>SUJETO OBLIGADO</w:t>
      </w:r>
      <w:r w:rsidRPr="008B0A36">
        <w:rPr>
          <w:rFonts w:ascii="Palatino Linotype" w:hAnsi="Palatino Linotype"/>
          <w:i/>
          <w:iCs/>
          <w:color w:val="222222"/>
          <w:lang w:eastAsia="es-MX"/>
        </w:rPr>
        <w:t xml:space="preserve"> deberá emitir el Acuerdo que apruebe el Comité de Transparencia mediante el cual se clasifiquen como reservados los documentos, en términos de lo dispuesto por el artículo 140, fracciones V, numeral 1  y VI de la Ley de Transparencia y Acceso a la Información Pública del Estado de México y Municipios.</w:t>
      </w:r>
    </w:p>
    <w:p w:rsidR="00A649FE" w:rsidRPr="00A649FE" w:rsidRDefault="00A649FE" w:rsidP="00A649FE">
      <w:pPr>
        <w:spacing w:before="100" w:beforeAutospacing="1" w:after="100" w:afterAutospacing="1" w:line="276" w:lineRule="auto"/>
        <w:ind w:left="851" w:right="902"/>
        <w:jc w:val="both"/>
        <w:rPr>
          <w:rFonts w:ascii="Palatino Linotype" w:hAnsi="Palatino Linotype"/>
          <w:i/>
          <w:iCs/>
          <w:color w:val="222222"/>
          <w:sz w:val="24"/>
          <w:szCs w:val="24"/>
          <w:lang w:eastAsia="es-MX"/>
        </w:rPr>
      </w:pPr>
      <w:r w:rsidRPr="00A649FE">
        <w:rPr>
          <w:rFonts w:ascii="Palatino Linotype" w:hAnsi="Palatino Linotype"/>
          <w:i/>
          <w:iCs/>
          <w:color w:val="222222"/>
          <w:sz w:val="24"/>
          <w:szCs w:val="24"/>
          <w:lang w:eastAsia="es-MX"/>
        </w:rPr>
        <w:lastRenderedPageBreak/>
        <w:t xml:space="preserve">De ser el caso de que </w:t>
      </w:r>
      <w:r w:rsidRPr="00A649FE">
        <w:rPr>
          <w:rFonts w:ascii="Palatino Linotype" w:hAnsi="Palatino Linotype"/>
          <w:b/>
          <w:i/>
          <w:iCs/>
          <w:color w:val="222222"/>
          <w:sz w:val="24"/>
          <w:szCs w:val="24"/>
          <w:lang w:eastAsia="es-MX"/>
        </w:rPr>
        <w:t>EL SUJETO OBLIGADO</w:t>
      </w:r>
      <w:r w:rsidRPr="00A649FE">
        <w:rPr>
          <w:rFonts w:ascii="Palatino Linotype" w:hAnsi="Palatino Linotype"/>
          <w:i/>
          <w:iCs/>
          <w:color w:val="222222"/>
          <w:sz w:val="24"/>
          <w:szCs w:val="24"/>
          <w:lang w:eastAsia="es-MX"/>
        </w:rPr>
        <w:t xml:space="preserve"> no cuente con la información referida en el inciso b) por no haber realizado auditorías, revisiones y/o evaluaciones al proceso de licitación número LPND-322-2019, deberá hacerlo del conocimiento del particular.”</w:t>
      </w:r>
    </w:p>
    <w:p w:rsidR="008049C8" w:rsidRPr="007A117F" w:rsidRDefault="008049C8" w:rsidP="008049C8">
      <w:pPr>
        <w:pStyle w:val="Prrafodelista"/>
        <w:rPr>
          <w:rFonts w:ascii="Palatino Linotype" w:hAnsi="Palatino Linotype"/>
          <w:sz w:val="24"/>
          <w:szCs w:val="24"/>
        </w:rPr>
      </w:pPr>
    </w:p>
    <w:p w:rsidR="00225470" w:rsidRDefault="003C0D78" w:rsidP="00225470">
      <w:pPr>
        <w:pStyle w:val="Prrafodelista"/>
        <w:numPr>
          <w:ilvl w:val="0"/>
          <w:numId w:val="1"/>
        </w:numPr>
        <w:spacing w:before="240" w:after="240" w:line="360" w:lineRule="auto"/>
        <w:ind w:left="0" w:right="49" w:firstLine="0"/>
        <w:jc w:val="both"/>
        <w:rPr>
          <w:rFonts w:ascii="Palatino Linotype" w:eastAsia="Times New Roman" w:hAnsi="Palatino Linotype" w:cs="Arial"/>
          <w:sz w:val="24"/>
        </w:rPr>
      </w:pPr>
      <w:r w:rsidRPr="00FE645C">
        <w:rPr>
          <w:rFonts w:ascii="Palatino Linotype" w:eastAsia="Times New Roman" w:hAnsi="Palatino Linotype" w:cs="Arial"/>
          <w:sz w:val="24"/>
        </w:rPr>
        <w:t>Sin embargo esta ponencia observó que la resolución puntualmente indica lo siguiente respecto a la información solicitada</w:t>
      </w:r>
      <w:r w:rsidR="00D20F7F">
        <w:rPr>
          <w:rFonts w:ascii="Palatino Linotype" w:eastAsia="Times New Roman" w:hAnsi="Palatino Linotype" w:cs="Arial"/>
          <w:sz w:val="24"/>
        </w:rPr>
        <w:t xml:space="preserve"> en el inciso b)</w:t>
      </w:r>
      <w:r w:rsidR="008049C8">
        <w:rPr>
          <w:rFonts w:ascii="Palatino Linotype" w:eastAsia="Times New Roman" w:hAnsi="Palatino Linotype" w:cs="Arial"/>
          <w:sz w:val="24"/>
        </w:rPr>
        <w:t xml:space="preserve">:  </w:t>
      </w:r>
    </w:p>
    <w:p w:rsidR="007A117F" w:rsidRPr="00D20F7F" w:rsidRDefault="00A649FE" w:rsidP="00D20F7F">
      <w:pPr>
        <w:spacing w:before="240" w:after="240" w:line="276" w:lineRule="auto"/>
        <w:ind w:left="709" w:right="900"/>
        <w:jc w:val="both"/>
        <w:rPr>
          <w:rFonts w:ascii="Palatino Linotype" w:hAnsi="Palatino Linotype"/>
          <w:i/>
          <w:sz w:val="24"/>
          <w:szCs w:val="24"/>
        </w:rPr>
      </w:pPr>
      <w:r w:rsidRPr="00D20F7F">
        <w:rPr>
          <w:rFonts w:ascii="Palatino Linotype" w:hAnsi="Palatino Linotype"/>
          <w:i/>
          <w:iCs/>
          <w:color w:val="222222"/>
          <w:sz w:val="24"/>
          <w:szCs w:val="24"/>
          <w:lang w:eastAsia="es-MX"/>
        </w:rPr>
        <w:t xml:space="preserve">De ser el caso de que </w:t>
      </w:r>
      <w:r w:rsidRPr="00D20F7F">
        <w:rPr>
          <w:rFonts w:ascii="Palatino Linotype" w:hAnsi="Palatino Linotype"/>
          <w:b/>
          <w:i/>
          <w:iCs/>
          <w:color w:val="222222"/>
          <w:sz w:val="24"/>
          <w:szCs w:val="24"/>
          <w:lang w:eastAsia="es-MX"/>
        </w:rPr>
        <w:t>EL SUJETO OBLIGADO</w:t>
      </w:r>
      <w:r w:rsidRPr="00D20F7F">
        <w:rPr>
          <w:rFonts w:ascii="Palatino Linotype" w:hAnsi="Palatino Linotype"/>
          <w:i/>
          <w:iCs/>
          <w:color w:val="222222"/>
          <w:sz w:val="24"/>
          <w:szCs w:val="24"/>
          <w:lang w:eastAsia="es-MX"/>
        </w:rPr>
        <w:t xml:space="preserve"> no cuente con la información referida en el inciso b) por no haber realizado auditorías, revisiones y/o evaluaciones al proceso de licitación número LPND-322-2019, deberá hacerlo del conocimiento del particular</w:t>
      </w:r>
    </w:p>
    <w:p w:rsidR="007A117F" w:rsidRPr="00225470" w:rsidRDefault="007A117F" w:rsidP="00A649FE">
      <w:pPr>
        <w:pStyle w:val="Prrafodelista"/>
        <w:spacing w:before="240" w:after="240" w:line="276" w:lineRule="auto"/>
        <w:ind w:left="851" w:right="900"/>
        <w:jc w:val="both"/>
        <w:rPr>
          <w:rFonts w:ascii="Palatino Linotype" w:eastAsia="Times New Roman" w:hAnsi="Palatino Linotype" w:cs="Arial"/>
          <w:i/>
          <w:sz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13739402"/>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lastRenderedPageBreak/>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Otorga a todos los documentos en posesión de las autoridades la calidad de públicos y únicamente pueden ser reservados temporalmente </w:t>
      </w:r>
      <w:r w:rsidRPr="00427B79">
        <w:rPr>
          <w:rFonts w:ascii="Palatino Linotype" w:hAnsi="Palatino Linotype" w:cs="Arial"/>
          <w:bCs/>
          <w:color w:val="000000" w:themeColor="text1"/>
          <w:sz w:val="24"/>
          <w:szCs w:val="24"/>
        </w:rPr>
        <w:lastRenderedPageBreak/>
        <w:t>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w:t>
      </w:r>
      <w:r w:rsidRPr="00427B79">
        <w:rPr>
          <w:rFonts w:ascii="Palatino Linotype" w:hAnsi="Palatino Linotype"/>
          <w:sz w:val="24"/>
          <w:szCs w:val="24"/>
        </w:rPr>
        <w:lastRenderedPageBreak/>
        <w:t>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w:t>
      </w:r>
      <w:r w:rsidRPr="00427B79">
        <w:rPr>
          <w:rFonts w:ascii="Palatino Linotype" w:hAnsi="Palatino Linotype"/>
          <w:sz w:val="24"/>
          <w:szCs w:val="24"/>
        </w:rPr>
        <w:lastRenderedPageBreak/>
        <w:t>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lastRenderedPageBreak/>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lastRenderedPageBreak/>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13739403"/>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w:t>
      </w:r>
      <w:r w:rsidRPr="00427B79">
        <w:rPr>
          <w:rFonts w:ascii="Palatino Linotype" w:eastAsia="Calibri" w:hAnsi="Palatino Linotype" w:cs="Arial"/>
          <w:sz w:val="24"/>
          <w:szCs w:val="24"/>
          <w:u w:val="single"/>
        </w:rPr>
        <w:lastRenderedPageBreak/>
        <w:t>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lastRenderedPageBreak/>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A22908">
        <w:rPr>
          <w:rFonts w:ascii="Palatino Linotype" w:eastAsia="Calibri" w:hAnsi="Palatino Linotype" w:cs="Arial"/>
          <w:sz w:val="24"/>
          <w:szCs w:val="24"/>
          <w:lang w:val="es-ES_tradnl"/>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lastRenderedPageBreak/>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w:t>
      </w:r>
      <w:r w:rsidRPr="00B21F85">
        <w:rPr>
          <w:rFonts w:ascii="Palatino Linotype" w:hAnsi="Palatino Linotype"/>
          <w:sz w:val="24"/>
          <w:szCs w:val="24"/>
        </w:rPr>
        <w:lastRenderedPageBreak/>
        <w:t xml:space="preserve">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 xml:space="preserve">aprobar </w:t>
      </w:r>
      <w:r w:rsidRPr="00450598">
        <w:rPr>
          <w:rFonts w:ascii="Palatino Linotype" w:hAnsi="Palatino Linotype" w:cs="Arial"/>
          <w:sz w:val="24"/>
          <w:szCs w:val="24"/>
          <w:u w:val="single"/>
        </w:rPr>
        <w:lastRenderedPageBreak/>
        <w:t>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w:t>
      </w:r>
      <w:r w:rsidRPr="00450598">
        <w:rPr>
          <w:rFonts w:ascii="Palatino Linotype" w:hAnsi="Palatino Linotype" w:cs="Arial"/>
          <w:sz w:val="24"/>
          <w:szCs w:val="24"/>
        </w:rPr>
        <w:lastRenderedPageBreak/>
        <w:t>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w:t>
      </w:r>
      <w:r w:rsidRPr="00B21F85">
        <w:rPr>
          <w:rFonts w:ascii="Palatino Linotype" w:hAnsi="Palatino Linotype"/>
          <w:sz w:val="24"/>
          <w:szCs w:val="24"/>
        </w:rPr>
        <w:lastRenderedPageBreak/>
        <w:t xml:space="preserve">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No se debe olvidar que la presunción se trata de la aplicación de métodos lógicos, reglas de experiencia y análisis de concordancia. Al sujeto que favorezca la presunción, no requiere probarla, basta que muestre el hecho base, por ejemplo;  La </w:t>
      </w:r>
      <w:r w:rsidRPr="00B21F85">
        <w:rPr>
          <w:rFonts w:ascii="Palatino Linotype" w:hAnsi="Palatino Linotype"/>
          <w:sz w:val="24"/>
          <w:szCs w:val="24"/>
        </w:rPr>
        <w:lastRenderedPageBreak/>
        <w:t>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w:t>
      </w:r>
      <w:r w:rsidRPr="00B21F85">
        <w:rPr>
          <w:rFonts w:ascii="Palatino Linotype" w:hAnsi="Palatino Linotype"/>
          <w:sz w:val="24"/>
          <w:szCs w:val="24"/>
        </w:rPr>
        <w:lastRenderedPageBreak/>
        <w:t xml:space="preserve">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SUJETO 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lastRenderedPageBreak/>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2927D9" w:rsidRPr="00E349CD" w:rsidRDefault="00483418" w:rsidP="002927D9">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w:t>
      </w:r>
      <w:r w:rsidRPr="00B21F85">
        <w:rPr>
          <w:rFonts w:ascii="Palatino Linotype" w:hAnsi="Palatino Linotype"/>
          <w:sz w:val="24"/>
          <w:szCs w:val="24"/>
        </w:rPr>
        <w:lastRenderedPageBreak/>
        <w:t xml:space="preserve">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w:t>
      </w:r>
      <w:r w:rsidR="00B21F85" w:rsidRPr="00036595">
        <w:rPr>
          <w:rFonts w:ascii="Palatino Linotype" w:hAnsi="Palatino Linotype"/>
          <w:b/>
          <w:sz w:val="24"/>
          <w:szCs w:val="24"/>
        </w:rPr>
        <w:t>SUJETO OBLIGADO</w:t>
      </w:r>
      <w:r w:rsidR="00B21F85" w:rsidRPr="00B21F85">
        <w:rPr>
          <w:rFonts w:ascii="Palatino Linotype" w:hAnsi="Palatino Linotype"/>
          <w:sz w:val="24"/>
          <w:szCs w:val="24"/>
        </w:rPr>
        <w:t xml:space="preserve"> haga una explicación (motive y de ser el caso fundamente) adecuada de porque contando con esas facultades, competencias o funciones para generar, poseer o administrar la documentación solicitada no lo hizo.</w:t>
      </w:r>
    </w:p>
    <w:bookmarkStart w:id="6" w:name="_Toc13739404"/>
    <w:p w:rsidR="00A649FE" w:rsidRDefault="00D20F7F" w:rsidP="00CD53CB">
      <w:pPr>
        <w:pStyle w:val="Ttulo1"/>
        <w:rPr>
          <w:rFonts w:eastAsia="Calibri"/>
          <w:color w:val="auto"/>
          <w:szCs w:val="24"/>
        </w:rPr>
      </w:pPr>
      <w:r>
        <w:rPr>
          <w:rFonts w:eastAsia="Calibri"/>
          <w:noProof/>
          <w:color w:val="auto"/>
          <w:szCs w:val="24"/>
          <w:lang w:eastAsia="es-MX"/>
        </w:rPr>
        <mc:AlternateContent>
          <mc:Choice Requires="wps">
            <w:drawing>
              <wp:anchor distT="0" distB="0" distL="114300" distR="114300" simplePos="0" relativeHeight="251659264" behindDoc="0" locked="0" layoutInCell="1" allowOverlap="1">
                <wp:simplePos x="0" y="0"/>
                <wp:positionH relativeFrom="column">
                  <wp:posOffset>43815</wp:posOffset>
                </wp:positionH>
                <wp:positionV relativeFrom="paragraph">
                  <wp:posOffset>52069</wp:posOffset>
                </wp:positionV>
                <wp:extent cx="5638800" cy="4067175"/>
                <wp:effectExtent l="19050" t="19050" r="19050" b="28575"/>
                <wp:wrapNone/>
                <wp:docPr id="1" name="Conector recto 1"/>
                <wp:cNvGraphicFramePr/>
                <a:graphic xmlns:a="http://schemas.openxmlformats.org/drawingml/2006/main">
                  <a:graphicData uri="http://schemas.microsoft.com/office/word/2010/wordprocessingShape">
                    <wps:wsp>
                      <wps:cNvCnPr/>
                      <wps:spPr>
                        <a:xfrm>
                          <a:off x="0" y="0"/>
                          <a:ext cx="5638800" cy="40671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0287F0"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5pt,4.1pt" to="447.45pt,3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" strokecolor="#5b9bd5 [3204]" strokeweight="3pt">
                <v:stroke joinstyle="miter"/>
              </v:line>
            </w:pict>
          </mc:Fallback>
        </mc:AlternateContent>
      </w:r>
      <w:bookmarkEnd w:id="6"/>
    </w:p>
    <w:p w:rsidR="00A649FE" w:rsidRDefault="00A649FE" w:rsidP="00CD53CB">
      <w:pPr>
        <w:pStyle w:val="Ttulo1"/>
        <w:rPr>
          <w:rFonts w:eastAsia="Calibri"/>
          <w:color w:val="auto"/>
          <w:szCs w:val="24"/>
        </w:rPr>
      </w:pPr>
    </w:p>
    <w:p w:rsidR="00A649FE" w:rsidRDefault="00A649FE" w:rsidP="00CD53CB">
      <w:pPr>
        <w:pStyle w:val="Ttulo1"/>
        <w:rPr>
          <w:rFonts w:eastAsia="Calibri"/>
          <w:color w:val="auto"/>
          <w:szCs w:val="24"/>
        </w:rPr>
      </w:pPr>
    </w:p>
    <w:p w:rsidR="00A649FE" w:rsidRDefault="00A649FE" w:rsidP="00CD53CB">
      <w:pPr>
        <w:pStyle w:val="Ttulo1"/>
        <w:rPr>
          <w:rFonts w:eastAsia="Calibri"/>
          <w:color w:val="auto"/>
          <w:szCs w:val="24"/>
        </w:rPr>
      </w:pPr>
    </w:p>
    <w:p w:rsidR="00A649FE" w:rsidRDefault="00A649FE" w:rsidP="00CD53CB">
      <w:pPr>
        <w:pStyle w:val="Ttulo1"/>
        <w:rPr>
          <w:rFonts w:eastAsia="Calibri"/>
          <w:color w:val="auto"/>
          <w:szCs w:val="24"/>
        </w:rPr>
      </w:pPr>
    </w:p>
    <w:p w:rsidR="00A649FE" w:rsidRDefault="00A649FE" w:rsidP="00CD53CB">
      <w:pPr>
        <w:pStyle w:val="Ttulo1"/>
        <w:rPr>
          <w:rFonts w:eastAsia="Calibri"/>
          <w:color w:val="auto"/>
          <w:szCs w:val="24"/>
        </w:rPr>
      </w:pPr>
    </w:p>
    <w:p w:rsidR="00A649FE" w:rsidRDefault="00A649FE" w:rsidP="00CD53CB">
      <w:pPr>
        <w:pStyle w:val="Ttulo1"/>
        <w:rPr>
          <w:rFonts w:eastAsia="Calibri"/>
          <w:color w:val="auto"/>
          <w:szCs w:val="24"/>
        </w:rPr>
      </w:pPr>
    </w:p>
    <w:p w:rsidR="00A649FE" w:rsidRDefault="00A649FE" w:rsidP="00A649FE"/>
    <w:p w:rsidR="00A649FE" w:rsidRPr="00A649FE" w:rsidRDefault="00A649FE" w:rsidP="00A649FE"/>
    <w:p w:rsidR="00E6179D" w:rsidRPr="0083488C" w:rsidRDefault="00CD53CB" w:rsidP="00CD53CB">
      <w:pPr>
        <w:pStyle w:val="Ttulo1"/>
        <w:rPr>
          <w:rFonts w:eastAsia="Calibri"/>
          <w:szCs w:val="24"/>
        </w:rPr>
      </w:pPr>
      <w:bookmarkStart w:id="7" w:name="_Toc13739405"/>
      <w:r>
        <w:rPr>
          <w:rFonts w:eastAsia="Calibri"/>
          <w:color w:val="auto"/>
          <w:szCs w:val="24"/>
        </w:rPr>
        <w:lastRenderedPageBreak/>
        <w:t xml:space="preserve">V. </w:t>
      </w:r>
      <w:r w:rsidR="00E6179D" w:rsidRPr="0083488C">
        <w:rPr>
          <w:rFonts w:eastAsia="Calibri"/>
          <w:color w:val="auto"/>
          <w:szCs w:val="24"/>
        </w:rPr>
        <w:t>Conclusión.</w:t>
      </w:r>
      <w:bookmarkEnd w:id="7"/>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42A2D" w:rsidRPr="00427B79" w:rsidRDefault="00B42A2D" w:rsidP="00E6179D">
      <w:pPr>
        <w:rPr>
          <w:rFonts w:ascii="Palatino Linotype" w:hAnsi="Palatino Linotype" w:cs="Arial"/>
          <w:color w:val="000000" w:themeColor="text1"/>
          <w:sz w:val="24"/>
          <w:szCs w:val="24"/>
        </w:rPr>
      </w:pPr>
    </w:p>
    <w:p w:rsidR="00C9680E" w:rsidRPr="00427B79" w:rsidRDefault="00C9680E"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3C3547" w:rsidRPr="00E349CD" w:rsidRDefault="00F73C04" w:rsidP="00E349C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E349CD" w:rsidRDefault="00E349CD" w:rsidP="00E6179D">
      <w:pPr>
        <w:rPr>
          <w:rFonts w:ascii="Palatino Linotype" w:hAnsi="Palatino Linotype"/>
          <w:color w:val="000000" w:themeColor="text1"/>
          <w:sz w:val="24"/>
          <w:szCs w:val="24"/>
        </w:rPr>
      </w:pPr>
    </w:p>
    <w:p w:rsidR="00C50660" w:rsidRDefault="00C50660"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00E" w:rsidRDefault="00C2400E" w:rsidP="00E82D3D">
      <w:pPr>
        <w:spacing w:after="0" w:line="240" w:lineRule="auto"/>
      </w:pPr>
      <w:r>
        <w:separator/>
      </w:r>
    </w:p>
  </w:endnote>
  <w:endnote w:type="continuationSeparator" w:id="0">
    <w:p w:rsidR="00C2400E" w:rsidRDefault="00C2400E"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F17F4">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F17F4">
              <w:rPr>
                <w:b/>
                <w:bCs/>
                <w:noProof/>
              </w:rPr>
              <w:t>29</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00E" w:rsidRDefault="00C2400E" w:rsidP="00E82D3D">
      <w:pPr>
        <w:spacing w:after="0" w:line="240" w:lineRule="auto"/>
      </w:pPr>
      <w:r>
        <w:separator/>
      </w:r>
    </w:p>
  </w:footnote>
  <w:footnote w:type="continuationSeparator" w:id="0">
    <w:p w:rsidR="00C2400E" w:rsidRDefault="00C2400E"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C2400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C2400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C2400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996DDD"/>
    <w:multiLevelType w:val="hybridMultilevel"/>
    <w:tmpl w:val="8DC2F6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28601D"/>
    <w:multiLevelType w:val="hybridMultilevel"/>
    <w:tmpl w:val="0F3A8970"/>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A73666"/>
    <w:multiLevelType w:val="hybridMultilevel"/>
    <w:tmpl w:val="5234EB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5A60EE"/>
    <w:multiLevelType w:val="hybridMultilevel"/>
    <w:tmpl w:val="6F9C0C60"/>
    <w:lvl w:ilvl="0" w:tplc="88CA5424">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C61FA9"/>
    <w:multiLevelType w:val="hybridMultilevel"/>
    <w:tmpl w:val="182229A4"/>
    <w:lvl w:ilvl="0" w:tplc="5AA02692">
      <w:start w:val="1"/>
      <w:numFmt w:val="decimal"/>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9D629D"/>
    <w:multiLevelType w:val="hybridMultilevel"/>
    <w:tmpl w:val="99F4A742"/>
    <w:lvl w:ilvl="0" w:tplc="6C6CD1D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C33F98"/>
    <w:multiLevelType w:val="hybridMultilevel"/>
    <w:tmpl w:val="095A449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24"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79E3CAB"/>
    <w:multiLevelType w:val="hybridMultilevel"/>
    <w:tmpl w:val="B8A887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1E3ACF"/>
    <w:multiLevelType w:val="hybridMultilevel"/>
    <w:tmpl w:val="1520E24A"/>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3800D82"/>
    <w:multiLevelType w:val="hybridMultilevel"/>
    <w:tmpl w:val="CE7A9FB6"/>
    <w:lvl w:ilvl="0" w:tplc="080A000F">
      <w:start w:val="1"/>
      <w:numFmt w:val="decimal"/>
      <w:lvlText w:val="%1."/>
      <w:lvlJc w:val="left"/>
      <w:pPr>
        <w:ind w:left="2148" w:hanging="360"/>
      </w:pPr>
    </w:lvl>
    <w:lvl w:ilvl="1" w:tplc="080A0019" w:tentative="1">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33"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3840472"/>
    <w:multiLevelType w:val="hybridMultilevel"/>
    <w:tmpl w:val="678E0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7" w15:restartNumberingAfterBreak="0">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251706D"/>
    <w:multiLevelType w:val="hybridMultilevel"/>
    <w:tmpl w:val="F4A606F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4F5247"/>
    <w:multiLevelType w:val="hybridMultilevel"/>
    <w:tmpl w:val="15DE3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3"/>
  </w:num>
  <w:num w:numId="2">
    <w:abstractNumId w:val="34"/>
  </w:num>
  <w:num w:numId="3">
    <w:abstractNumId w:val="5"/>
  </w:num>
  <w:num w:numId="4">
    <w:abstractNumId w:val="43"/>
  </w:num>
  <w:num w:numId="5">
    <w:abstractNumId w:val="1"/>
  </w:num>
  <w:num w:numId="6">
    <w:abstractNumId w:val="2"/>
  </w:num>
  <w:num w:numId="7">
    <w:abstractNumId w:val="20"/>
  </w:num>
  <w:num w:numId="8">
    <w:abstractNumId w:val="25"/>
  </w:num>
  <w:num w:numId="9">
    <w:abstractNumId w:val="37"/>
  </w:num>
  <w:num w:numId="10">
    <w:abstractNumId w:val="23"/>
  </w:num>
  <w:num w:numId="11">
    <w:abstractNumId w:val="30"/>
  </w:num>
  <w:num w:numId="12">
    <w:abstractNumId w:val="11"/>
  </w:num>
  <w:num w:numId="13">
    <w:abstractNumId w:val="45"/>
  </w:num>
  <w:num w:numId="14">
    <w:abstractNumId w:val="44"/>
  </w:num>
  <w:num w:numId="15">
    <w:abstractNumId w:val="4"/>
  </w:num>
  <w:num w:numId="16">
    <w:abstractNumId w:val="19"/>
  </w:num>
  <w:num w:numId="17">
    <w:abstractNumId w:val="10"/>
  </w:num>
  <w:num w:numId="18">
    <w:abstractNumId w:val="14"/>
  </w:num>
  <w:num w:numId="19">
    <w:abstractNumId w:val="29"/>
  </w:num>
  <w:num w:numId="20">
    <w:abstractNumId w:val="9"/>
  </w:num>
  <w:num w:numId="21">
    <w:abstractNumId w:val="17"/>
  </w:num>
  <w:num w:numId="22">
    <w:abstractNumId w:val="39"/>
  </w:num>
  <w:num w:numId="23">
    <w:abstractNumId w:val="28"/>
  </w:num>
  <w:num w:numId="24">
    <w:abstractNumId w:val="6"/>
  </w:num>
  <w:num w:numId="25">
    <w:abstractNumId w:val="40"/>
  </w:num>
  <w:num w:numId="26">
    <w:abstractNumId w:val="31"/>
  </w:num>
  <w:num w:numId="27">
    <w:abstractNumId w:val="36"/>
  </w:num>
  <w:num w:numId="28">
    <w:abstractNumId w:val="24"/>
  </w:num>
  <w:num w:numId="29">
    <w:abstractNumId w:val="38"/>
  </w:num>
  <w:num w:numId="30">
    <w:abstractNumId w:val="46"/>
  </w:num>
  <w:num w:numId="31">
    <w:abstractNumId w:val="15"/>
  </w:num>
  <w:num w:numId="32">
    <w:abstractNumId w:val="0"/>
  </w:num>
  <w:num w:numId="33">
    <w:abstractNumId w:val="8"/>
  </w:num>
  <w:num w:numId="34">
    <w:abstractNumId w:val="16"/>
  </w:num>
  <w:num w:numId="35">
    <w:abstractNumId w:val="22"/>
  </w:num>
  <w:num w:numId="36">
    <w:abstractNumId w:val="21"/>
  </w:num>
  <w:num w:numId="37">
    <w:abstractNumId w:val="13"/>
  </w:num>
  <w:num w:numId="38">
    <w:abstractNumId w:val="35"/>
  </w:num>
  <w:num w:numId="39">
    <w:abstractNumId w:val="12"/>
  </w:num>
  <w:num w:numId="40">
    <w:abstractNumId w:val="3"/>
  </w:num>
  <w:num w:numId="41">
    <w:abstractNumId w:val="41"/>
  </w:num>
  <w:num w:numId="42">
    <w:abstractNumId w:val="26"/>
  </w:num>
  <w:num w:numId="43">
    <w:abstractNumId w:val="32"/>
  </w:num>
  <w:num w:numId="44">
    <w:abstractNumId w:val="27"/>
  </w:num>
  <w:num w:numId="45">
    <w:abstractNumId w:val="7"/>
  </w:num>
  <w:num w:numId="46">
    <w:abstractNumId w:val="42"/>
  </w:num>
  <w:num w:numId="47">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1E3A"/>
    <w:rsid w:val="00002FEE"/>
    <w:rsid w:val="00003F39"/>
    <w:rsid w:val="00007F05"/>
    <w:rsid w:val="00017704"/>
    <w:rsid w:val="00025E0E"/>
    <w:rsid w:val="0002788B"/>
    <w:rsid w:val="00033837"/>
    <w:rsid w:val="000354F0"/>
    <w:rsid w:val="0003648B"/>
    <w:rsid w:val="00036595"/>
    <w:rsid w:val="00046733"/>
    <w:rsid w:val="00047D47"/>
    <w:rsid w:val="00050071"/>
    <w:rsid w:val="00051010"/>
    <w:rsid w:val="00051B39"/>
    <w:rsid w:val="000550BB"/>
    <w:rsid w:val="000602CB"/>
    <w:rsid w:val="0006430D"/>
    <w:rsid w:val="00064C7C"/>
    <w:rsid w:val="0007217E"/>
    <w:rsid w:val="00075BC8"/>
    <w:rsid w:val="00077E58"/>
    <w:rsid w:val="00080138"/>
    <w:rsid w:val="00082116"/>
    <w:rsid w:val="00083196"/>
    <w:rsid w:val="0008550B"/>
    <w:rsid w:val="000921E9"/>
    <w:rsid w:val="0009506C"/>
    <w:rsid w:val="000957D0"/>
    <w:rsid w:val="00096CC2"/>
    <w:rsid w:val="000A17C5"/>
    <w:rsid w:val="000B09D7"/>
    <w:rsid w:val="000B2BE4"/>
    <w:rsid w:val="000C57DB"/>
    <w:rsid w:val="000D3EE5"/>
    <w:rsid w:val="000D647C"/>
    <w:rsid w:val="000D75B5"/>
    <w:rsid w:val="000D78CD"/>
    <w:rsid w:val="000E1ACA"/>
    <w:rsid w:val="000E4D6E"/>
    <w:rsid w:val="000E6195"/>
    <w:rsid w:val="000F6EC0"/>
    <w:rsid w:val="00102360"/>
    <w:rsid w:val="00113C80"/>
    <w:rsid w:val="00113E8A"/>
    <w:rsid w:val="001240A5"/>
    <w:rsid w:val="00130392"/>
    <w:rsid w:val="00131C89"/>
    <w:rsid w:val="00132BDB"/>
    <w:rsid w:val="00143687"/>
    <w:rsid w:val="00147D04"/>
    <w:rsid w:val="00151FA6"/>
    <w:rsid w:val="00152C7F"/>
    <w:rsid w:val="0016014E"/>
    <w:rsid w:val="001604B4"/>
    <w:rsid w:val="0016671B"/>
    <w:rsid w:val="001708DF"/>
    <w:rsid w:val="001725DC"/>
    <w:rsid w:val="0018245A"/>
    <w:rsid w:val="001833A7"/>
    <w:rsid w:val="0018421D"/>
    <w:rsid w:val="001849AC"/>
    <w:rsid w:val="00187407"/>
    <w:rsid w:val="00196CAE"/>
    <w:rsid w:val="001A0750"/>
    <w:rsid w:val="001A3506"/>
    <w:rsid w:val="001A4E6E"/>
    <w:rsid w:val="001A5DCA"/>
    <w:rsid w:val="001A7D89"/>
    <w:rsid w:val="001B19B4"/>
    <w:rsid w:val="001C23BB"/>
    <w:rsid w:val="001C3DD0"/>
    <w:rsid w:val="001C5A78"/>
    <w:rsid w:val="001C6366"/>
    <w:rsid w:val="001D35E2"/>
    <w:rsid w:val="001D47E3"/>
    <w:rsid w:val="001D71D8"/>
    <w:rsid w:val="001D7C57"/>
    <w:rsid w:val="001E1AE7"/>
    <w:rsid w:val="001E5635"/>
    <w:rsid w:val="001F05DA"/>
    <w:rsid w:val="001F0E58"/>
    <w:rsid w:val="001F1428"/>
    <w:rsid w:val="00202AE6"/>
    <w:rsid w:val="0022191E"/>
    <w:rsid w:val="00223548"/>
    <w:rsid w:val="00224B9E"/>
    <w:rsid w:val="00225470"/>
    <w:rsid w:val="002255A9"/>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927D9"/>
    <w:rsid w:val="00295D28"/>
    <w:rsid w:val="002962A4"/>
    <w:rsid w:val="002A2E8D"/>
    <w:rsid w:val="002A3111"/>
    <w:rsid w:val="002A3E3F"/>
    <w:rsid w:val="002B02A8"/>
    <w:rsid w:val="002B1FE5"/>
    <w:rsid w:val="002B30C5"/>
    <w:rsid w:val="002B6741"/>
    <w:rsid w:val="002C0B0D"/>
    <w:rsid w:val="002C1A0B"/>
    <w:rsid w:val="002C3124"/>
    <w:rsid w:val="002C4ACE"/>
    <w:rsid w:val="002D2F58"/>
    <w:rsid w:val="002D4033"/>
    <w:rsid w:val="002E3ED2"/>
    <w:rsid w:val="002E691F"/>
    <w:rsid w:val="002F19E3"/>
    <w:rsid w:val="002F79FF"/>
    <w:rsid w:val="003005F7"/>
    <w:rsid w:val="00302CEB"/>
    <w:rsid w:val="00305CE0"/>
    <w:rsid w:val="00315772"/>
    <w:rsid w:val="003170B3"/>
    <w:rsid w:val="00317725"/>
    <w:rsid w:val="0032084C"/>
    <w:rsid w:val="0032240B"/>
    <w:rsid w:val="003258B6"/>
    <w:rsid w:val="0032670C"/>
    <w:rsid w:val="003267BA"/>
    <w:rsid w:val="00332757"/>
    <w:rsid w:val="003564CA"/>
    <w:rsid w:val="00360A7B"/>
    <w:rsid w:val="0036141D"/>
    <w:rsid w:val="003617E4"/>
    <w:rsid w:val="003676A8"/>
    <w:rsid w:val="003722F0"/>
    <w:rsid w:val="00376B99"/>
    <w:rsid w:val="00377B5A"/>
    <w:rsid w:val="003817BE"/>
    <w:rsid w:val="00384DBA"/>
    <w:rsid w:val="003855C9"/>
    <w:rsid w:val="00386739"/>
    <w:rsid w:val="003875DC"/>
    <w:rsid w:val="00387F6B"/>
    <w:rsid w:val="00391E5E"/>
    <w:rsid w:val="003965B8"/>
    <w:rsid w:val="003A0E53"/>
    <w:rsid w:val="003A31EF"/>
    <w:rsid w:val="003A4962"/>
    <w:rsid w:val="003C0D78"/>
    <w:rsid w:val="003C19DC"/>
    <w:rsid w:val="003C3547"/>
    <w:rsid w:val="003C37C6"/>
    <w:rsid w:val="003C7F8A"/>
    <w:rsid w:val="003D41BA"/>
    <w:rsid w:val="003D42E2"/>
    <w:rsid w:val="003D7278"/>
    <w:rsid w:val="003D74AD"/>
    <w:rsid w:val="003E0648"/>
    <w:rsid w:val="003E12FC"/>
    <w:rsid w:val="003F0FAA"/>
    <w:rsid w:val="003F1617"/>
    <w:rsid w:val="00401477"/>
    <w:rsid w:val="00410B42"/>
    <w:rsid w:val="0041189B"/>
    <w:rsid w:val="00413714"/>
    <w:rsid w:val="00421B1A"/>
    <w:rsid w:val="00423C67"/>
    <w:rsid w:val="00426D97"/>
    <w:rsid w:val="00427B43"/>
    <w:rsid w:val="00427B79"/>
    <w:rsid w:val="004340E4"/>
    <w:rsid w:val="00434E1A"/>
    <w:rsid w:val="00436338"/>
    <w:rsid w:val="00436541"/>
    <w:rsid w:val="00437D14"/>
    <w:rsid w:val="004440DE"/>
    <w:rsid w:val="00454A8A"/>
    <w:rsid w:val="0045613E"/>
    <w:rsid w:val="0046231E"/>
    <w:rsid w:val="004633B7"/>
    <w:rsid w:val="00466F4A"/>
    <w:rsid w:val="00470840"/>
    <w:rsid w:val="00472C78"/>
    <w:rsid w:val="004733AF"/>
    <w:rsid w:val="0047567F"/>
    <w:rsid w:val="00480F5B"/>
    <w:rsid w:val="00483418"/>
    <w:rsid w:val="0048628E"/>
    <w:rsid w:val="00494B01"/>
    <w:rsid w:val="00497F7C"/>
    <w:rsid w:val="004A4304"/>
    <w:rsid w:val="004A5F86"/>
    <w:rsid w:val="004B5385"/>
    <w:rsid w:val="004C57A6"/>
    <w:rsid w:val="004D66C5"/>
    <w:rsid w:val="004D772F"/>
    <w:rsid w:val="004E6D94"/>
    <w:rsid w:val="004F360B"/>
    <w:rsid w:val="004F3ABB"/>
    <w:rsid w:val="004F4DA5"/>
    <w:rsid w:val="00500BB0"/>
    <w:rsid w:val="00501D40"/>
    <w:rsid w:val="00510EE4"/>
    <w:rsid w:val="00522308"/>
    <w:rsid w:val="0052306C"/>
    <w:rsid w:val="005328D3"/>
    <w:rsid w:val="005441DE"/>
    <w:rsid w:val="005503D3"/>
    <w:rsid w:val="00551207"/>
    <w:rsid w:val="00554B28"/>
    <w:rsid w:val="005556CA"/>
    <w:rsid w:val="005565CE"/>
    <w:rsid w:val="005650D9"/>
    <w:rsid w:val="00567957"/>
    <w:rsid w:val="005905A5"/>
    <w:rsid w:val="00590C2D"/>
    <w:rsid w:val="00594E5C"/>
    <w:rsid w:val="005A2F43"/>
    <w:rsid w:val="005A5C01"/>
    <w:rsid w:val="005B2060"/>
    <w:rsid w:val="005B30BB"/>
    <w:rsid w:val="005B4B9A"/>
    <w:rsid w:val="005C0258"/>
    <w:rsid w:val="005C3F74"/>
    <w:rsid w:val="005C5909"/>
    <w:rsid w:val="005C74AE"/>
    <w:rsid w:val="005D0118"/>
    <w:rsid w:val="005D0248"/>
    <w:rsid w:val="005D1F96"/>
    <w:rsid w:val="005D2393"/>
    <w:rsid w:val="005D71D8"/>
    <w:rsid w:val="005E5192"/>
    <w:rsid w:val="005F30BC"/>
    <w:rsid w:val="005F393D"/>
    <w:rsid w:val="005F3E96"/>
    <w:rsid w:val="00611694"/>
    <w:rsid w:val="0061188C"/>
    <w:rsid w:val="00617ACF"/>
    <w:rsid w:val="00625C44"/>
    <w:rsid w:val="006262ED"/>
    <w:rsid w:val="006319DC"/>
    <w:rsid w:val="00645585"/>
    <w:rsid w:val="006562FF"/>
    <w:rsid w:val="00672D4A"/>
    <w:rsid w:val="00673029"/>
    <w:rsid w:val="00675CF8"/>
    <w:rsid w:val="00676187"/>
    <w:rsid w:val="00680533"/>
    <w:rsid w:val="006864CA"/>
    <w:rsid w:val="00686870"/>
    <w:rsid w:val="006937EC"/>
    <w:rsid w:val="006951FC"/>
    <w:rsid w:val="00697C15"/>
    <w:rsid w:val="006A0BDD"/>
    <w:rsid w:val="006A3003"/>
    <w:rsid w:val="006B255B"/>
    <w:rsid w:val="006B39ED"/>
    <w:rsid w:val="006C5E0D"/>
    <w:rsid w:val="006D3C8A"/>
    <w:rsid w:val="006E22C9"/>
    <w:rsid w:val="006F081D"/>
    <w:rsid w:val="006F0A01"/>
    <w:rsid w:val="007015AB"/>
    <w:rsid w:val="00715A51"/>
    <w:rsid w:val="00720807"/>
    <w:rsid w:val="00720D2F"/>
    <w:rsid w:val="00723CDA"/>
    <w:rsid w:val="00730193"/>
    <w:rsid w:val="007349D6"/>
    <w:rsid w:val="00740A46"/>
    <w:rsid w:val="00740DA3"/>
    <w:rsid w:val="00744BA1"/>
    <w:rsid w:val="00744F8C"/>
    <w:rsid w:val="00754249"/>
    <w:rsid w:val="00761D8C"/>
    <w:rsid w:val="007626E7"/>
    <w:rsid w:val="00772B4B"/>
    <w:rsid w:val="00773AAF"/>
    <w:rsid w:val="007763E8"/>
    <w:rsid w:val="007777F1"/>
    <w:rsid w:val="00780F47"/>
    <w:rsid w:val="00786073"/>
    <w:rsid w:val="00787B93"/>
    <w:rsid w:val="007910FD"/>
    <w:rsid w:val="00797A31"/>
    <w:rsid w:val="007A117F"/>
    <w:rsid w:val="007A1EB0"/>
    <w:rsid w:val="007A304C"/>
    <w:rsid w:val="007A4C87"/>
    <w:rsid w:val="007A5444"/>
    <w:rsid w:val="007A671C"/>
    <w:rsid w:val="007B0214"/>
    <w:rsid w:val="007B0E23"/>
    <w:rsid w:val="007B2DD9"/>
    <w:rsid w:val="007D037D"/>
    <w:rsid w:val="007D03AB"/>
    <w:rsid w:val="007D1783"/>
    <w:rsid w:val="007D2D36"/>
    <w:rsid w:val="007D7732"/>
    <w:rsid w:val="007E2065"/>
    <w:rsid w:val="007E48FF"/>
    <w:rsid w:val="007F063A"/>
    <w:rsid w:val="007F7A9D"/>
    <w:rsid w:val="0080377C"/>
    <w:rsid w:val="008049C8"/>
    <w:rsid w:val="00804A5D"/>
    <w:rsid w:val="00806194"/>
    <w:rsid w:val="00806C2E"/>
    <w:rsid w:val="00806F09"/>
    <w:rsid w:val="008076C1"/>
    <w:rsid w:val="00807E40"/>
    <w:rsid w:val="0081257A"/>
    <w:rsid w:val="008126FB"/>
    <w:rsid w:val="00817655"/>
    <w:rsid w:val="008216B4"/>
    <w:rsid w:val="00821BFF"/>
    <w:rsid w:val="00821FE4"/>
    <w:rsid w:val="008232B6"/>
    <w:rsid w:val="00831AE8"/>
    <w:rsid w:val="00831B0F"/>
    <w:rsid w:val="0083488C"/>
    <w:rsid w:val="00835C8D"/>
    <w:rsid w:val="00843E5B"/>
    <w:rsid w:val="008461BC"/>
    <w:rsid w:val="0084698E"/>
    <w:rsid w:val="00850B8D"/>
    <w:rsid w:val="00852C16"/>
    <w:rsid w:val="00856D24"/>
    <w:rsid w:val="008572C3"/>
    <w:rsid w:val="00857FB4"/>
    <w:rsid w:val="00860A8A"/>
    <w:rsid w:val="00862F04"/>
    <w:rsid w:val="00865C88"/>
    <w:rsid w:val="00871B60"/>
    <w:rsid w:val="008747CB"/>
    <w:rsid w:val="00876065"/>
    <w:rsid w:val="008825D2"/>
    <w:rsid w:val="008843B2"/>
    <w:rsid w:val="00884EFF"/>
    <w:rsid w:val="00886DFE"/>
    <w:rsid w:val="00890823"/>
    <w:rsid w:val="00892296"/>
    <w:rsid w:val="00894E97"/>
    <w:rsid w:val="008B030F"/>
    <w:rsid w:val="008B04BB"/>
    <w:rsid w:val="008B0FC0"/>
    <w:rsid w:val="008C63A7"/>
    <w:rsid w:val="008D0ACD"/>
    <w:rsid w:val="008D4328"/>
    <w:rsid w:val="008E733E"/>
    <w:rsid w:val="008F212A"/>
    <w:rsid w:val="008F2800"/>
    <w:rsid w:val="0090262D"/>
    <w:rsid w:val="00906020"/>
    <w:rsid w:val="009143F1"/>
    <w:rsid w:val="00920E8D"/>
    <w:rsid w:val="00922197"/>
    <w:rsid w:val="00922D55"/>
    <w:rsid w:val="00930786"/>
    <w:rsid w:val="0093474A"/>
    <w:rsid w:val="009447DE"/>
    <w:rsid w:val="00945937"/>
    <w:rsid w:val="00950BDB"/>
    <w:rsid w:val="009547CD"/>
    <w:rsid w:val="00962385"/>
    <w:rsid w:val="00964E10"/>
    <w:rsid w:val="0098297D"/>
    <w:rsid w:val="00983DEC"/>
    <w:rsid w:val="00984119"/>
    <w:rsid w:val="00984681"/>
    <w:rsid w:val="00987C08"/>
    <w:rsid w:val="00994A15"/>
    <w:rsid w:val="00995C55"/>
    <w:rsid w:val="009A081B"/>
    <w:rsid w:val="009A0D68"/>
    <w:rsid w:val="009A2638"/>
    <w:rsid w:val="009A2D39"/>
    <w:rsid w:val="009A33F0"/>
    <w:rsid w:val="009A5621"/>
    <w:rsid w:val="009B1407"/>
    <w:rsid w:val="009B3A5C"/>
    <w:rsid w:val="009B4169"/>
    <w:rsid w:val="009B713A"/>
    <w:rsid w:val="009C1A2E"/>
    <w:rsid w:val="009C7267"/>
    <w:rsid w:val="009C72FE"/>
    <w:rsid w:val="009D3902"/>
    <w:rsid w:val="009D4E0C"/>
    <w:rsid w:val="009E0EE0"/>
    <w:rsid w:val="009F02EB"/>
    <w:rsid w:val="009F4960"/>
    <w:rsid w:val="009F64D8"/>
    <w:rsid w:val="009F6B96"/>
    <w:rsid w:val="009F7A37"/>
    <w:rsid w:val="009F7B67"/>
    <w:rsid w:val="00A01FFF"/>
    <w:rsid w:val="00A02ED0"/>
    <w:rsid w:val="00A1541E"/>
    <w:rsid w:val="00A22908"/>
    <w:rsid w:val="00A23B00"/>
    <w:rsid w:val="00A245A7"/>
    <w:rsid w:val="00A276D9"/>
    <w:rsid w:val="00A2786C"/>
    <w:rsid w:val="00A3005E"/>
    <w:rsid w:val="00A34E3A"/>
    <w:rsid w:val="00A34F25"/>
    <w:rsid w:val="00A37A86"/>
    <w:rsid w:val="00A42F36"/>
    <w:rsid w:val="00A43A7A"/>
    <w:rsid w:val="00A46EBA"/>
    <w:rsid w:val="00A510F9"/>
    <w:rsid w:val="00A5179E"/>
    <w:rsid w:val="00A61107"/>
    <w:rsid w:val="00A649E1"/>
    <w:rsid w:val="00A649FE"/>
    <w:rsid w:val="00A65FF3"/>
    <w:rsid w:val="00A672A5"/>
    <w:rsid w:val="00A717F7"/>
    <w:rsid w:val="00A72D82"/>
    <w:rsid w:val="00A749B1"/>
    <w:rsid w:val="00A82E8C"/>
    <w:rsid w:val="00A84374"/>
    <w:rsid w:val="00A9681C"/>
    <w:rsid w:val="00AA0FB7"/>
    <w:rsid w:val="00AA39FC"/>
    <w:rsid w:val="00AC4FE5"/>
    <w:rsid w:val="00AC640A"/>
    <w:rsid w:val="00AD0558"/>
    <w:rsid w:val="00AD1BEF"/>
    <w:rsid w:val="00AD4195"/>
    <w:rsid w:val="00AD5621"/>
    <w:rsid w:val="00AE0090"/>
    <w:rsid w:val="00AE08B4"/>
    <w:rsid w:val="00AE3DF4"/>
    <w:rsid w:val="00AF1B72"/>
    <w:rsid w:val="00B07ADB"/>
    <w:rsid w:val="00B16CE1"/>
    <w:rsid w:val="00B2190C"/>
    <w:rsid w:val="00B21F85"/>
    <w:rsid w:val="00B23CF8"/>
    <w:rsid w:val="00B259AE"/>
    <w:rsid w:val="00B2759C"/>
    <w:rsid w:val="00B32C98"/>
    <w:rsid w:val="00B3675E"/>
    <w:rsid w:val="00B41044"/>
    <w:rsid w:val="00B42A2D"/>
    <w:rsid w:val="00B516DB"/>
    <w:rsid w:val="00B52EEC"/>
    <w:rsid w:val="00B57FAA"/>
    <w:rsid w:val="00B64246"/>
    <w:rsid w:val="00B73B30"/>
    <w:rsid w:val="00B83FC5"/>
    <w:rsid w:val="00B847EF"/>
    <w:rsid w:val="00B91C16"/>
    <w:rsid w:val="00B9285A"/>
    <w:rsid w:val="00B97DB6"/>
    <w:rsid w:val="00BB0DD7"/>
    <w:rsid w:val="00BB271A"/>
    <w:rsid w:val="00BB27D3"/>
    <w:rsid w:val="00BB325C"/>
    <w:rsid w:val="00BB4414"/>
    <w:rsid w:val="00BB488C"/>
    <w:rsid w:val="00BB48A7"/>
    <w:rsid w:val="00BC31E0"/>
    <w:rsid w:val="00BC3C4B"/>
    <w:rsid w:val="00BD16B5"/>
    <w:rsid w:val="00BD2985"/>
    <w:rsid w:val="00BD4F54"/>
    <w:rsid w:val="00BD63E7"/>
    <w:rsid w:val="00BF6F65"/>
    <w:rsid w:val="00BF70DB"/>
    <w:rsid w:val="00C0383A"/>
    <w:rsid w:val="00C07079"/>
    <w:rsid w:val="00C076A9"/>
    <w:rsid w:val="00C1158A"/>
    <w:rsid w:val="00C12240"/>
    <w:rsid w:val="00C130B3"/>
    <w:rsid w:val="00C1625B"/>
    <w:rsid w:val="00C17563"/>
    <w:rsid w:val="00C20869"/>
    <w:rsid w:val="00C2400E"/>
    <w:rsid w:val="00C4243E"/>
    <w:rsid w:val="00C43E73"/>
    <w:rsid w:val="00C4764C"/>
    <w:rsid w:val="00C50660"/>
    <w:rsid w:val="00C544E1"/>
    <w:rsid w:val="00C547F0"/>
    <w:rsid w:val="00C602B8"/>
    <w:rsid w:val="00C6233A"/>
    <w:rsid w:val="00C6454A"/>
    <w:rsid w:val="00C66C13"/>
    <w:rsid w:val="00C73E2A"/>
    <w:rsid w:val="00C752C4"/>
    <w:rsid w:val="00C753D8"/>
    <w:rsid w:val="00C824DB"/>
    <w:rsid w:val="00C83D11"/>
    <w:rsid w:val="00C9078E"/>
    <w:rsid w:val="00C93875"/>
    <w:rsid w:val="00C9680E"/>
    <w:rsid w:val="00CA2B8E"/>
    <w:rsid w:val="00CB2472"/>
    <w:rsid w:val="00CB26E2"/>
    <w:rsid w:val="00CB2E4E"/>
    <w:rsid w:val="00CC3ACF"/>
    <w:rsid w:val="00CC6106"/>
    <w:rsid w:val="00CC7CC1"/>
    <w:rsid w:val="00CD4F74"/>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7EA"/>
    <w:rsid w:val="00D20F7F"/>
    <w:rsid w:val="00D2727B"/>
    <w:rsid w:val="00D31010"/>
    <w:rsid w:val="00D35B4C"/>
    <w:rsid w:val="00D36317"/>
    <w:rsid w:val="00D37ED5"/>
    <w:rsid w:val="00D40E34"/>
    <w:rsid w:val="00D51350"/>
    <w:rsid w:val="00D51491"/>
    <w:rsid w:val="00D549C7"/>
    <w:rsid w:val="00D92BA5"/>
    <w:rsid w:val="00D93A70"/>
    <w:rsid w:val="00D9735C"/>
    <w:rsid w:val="00DA5A47"/>
    <w:rsid w:val="00DB39B5"/>
    <w:rsid w:val="00DB53B7"/>
    <w:rsid w:val="00DC2F22"/>
    <w:rsid w:val="00DC4358"/>
    <w:rsid w:val="00DC792E"/>
    <w:rsid w:val="00DD14BB"/>
    <w:rsid w:val="00DE7A32"/>
    <w:rsid w:val="00DF018D"/>
    <w:rsid w:val="00DF782C"/>
    <w:rsid w:val="00E04374"/>
    <w:rsid w:val="00E10CF1"/>
    <w:rsid w:val="00E15203"/>
    <w:rsid w:val="00E216B3"/>
    <w:rsid w:val="00E23555"/>
    <w:rsid w:val="00E27554"/>
    <w:rsid w:val="00E27A90"/>
    <w:rsid w:val="00E317C2"/>
    <w:rsid w:val="00E349CD"/>
    <w:rsid w:val="00E350C4"/>
    <w:rsid w:val="00E3588D"/>
    <w:rsid w:val="00E41E1B"/>
    <w:rsid w:val="00E41E9C"/>
    <w:rsid w:val="00E44859"/>
    <w:rsid w:val="00E479EF"/>
    <w:rsid w:val="00E504F7"/>
    <w:rsid w:val="00E51DF4"/>
    <w:rsid w:val="00E535E4"/>
    <w:rsid w:val="00E61519"/>
    <w:rsid w:val="00E6179D"/>
    <w:rsid w:val="00E676E0"/>
    <w:rsid w:val="00E82D3D"/>
    <w:rsid w:val="00E86F52"/>
    <w:rsid w:val="00E90F45"/>
    <w:rsid w:val="00E93266"/>
    <w:rsid w:val="00E965B4"/>
    <w:rsid w:val="00EA110C"/>
    <w:rsid w:val="00EA33CD"/>
    <w:rsid w:val="00EA7D41"/>
    <w:rsid w:val="00EB2D01"/>
    <w:rsid w:val="00EB7AAD"/>
    <w:rsid w:val="00EC6B7E"/>
    <w:rsid w:val="00EC74B7"/>
    <w:rsid w:val="00EF21BF"/>
    <w:rsid w:val="00EF3EA6"/>
    <w:rsid w:val="00EF6FDF"/>
    <w:rsid w:val="00F00B7C"/>
    <w:rsid w:val="00F01189"/>
    <w:rsid w:val="00F01271"/>
    <w:rsid w:val="00F100EC"/>
    <w:rsid w:val="00F1169F"/>
    <w:rsid w:val="00F1403B"/>
    <w:rsid w:val="00F26CE5"/>
    <w:rsid w:val="00F30EE8"/>
    <w:rsid w:val="00F333C8"/>
    <w:rsid w:val="00F41722"/>
    <w:rsid w:val="00F44EAA"/>
    <w:rsid w:val="00F665AF"/>
    <w:rsid w:val="00F72355"/>
    <w:rsid w:val="00F73C04"/>
    <w:rsid w:val="00F8373B"/>
    <w:rsid w:val="00F92E97"/>
    <w:rsid w:val="00FA571E"/>
    <w:rsid w:val="00FA6405"/>
    <w:rsid w:val="00FA79CE"/>
    <w:rsid w:val="00FB227F"/>
    <w:rsid w:val="00FB274F"/>
    <w:rsid w:val="00FC4706"/>
    <w:rsid w:val="00FC605B"/>
    <w:rsid w:val="00FD0F02"/>
    <w:rsid w:val="00FD1FAD"/>
    <w:rsid w:val="00FE1030"/>
    <w:rsid w:val="00FE3088"/>
    <w:rsid w:val="00FE3923"/>
    <w:rsid w:val="00FE645C"/>
    <w:rsid w:val="00FF17F4"/>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0EC"/>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BC7F3-B774-41F9-8F22-760423FA8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5850</Words>
  <Characters>32181</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2019-03-11T16:24:00Z</cp:lastPrinted>
  <dcterms:created xsi:type="dcterms:W3CDTF">2019-08-21T16:23:00Z</dcterms:created>
  <dcterms:modified xsi:type="dcterms:W3CDTF">2019-08-21T16:23:00Z</dcterms:modified>
</cp:coreProperties>
</file>